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sz w:val="28"/>
          <w:szCs w:val="28"/>
          <w:lang w:eastAsia="en-US"/>
        </w:rPr>
        <w:id w:val="1835182501"/>
        <w:docPartObj>
          <w:docPartGallery w:val="Cover Pages"/>
          <w:docPartUnique/>
        </w:docPartObj>
      </w:sdtPr>
      <w:sdtEndPr>
        <w:rPr>
          <w:b/>
          <w:bCs/>
          <w:caps w:val="0"/>
          <w:sz w:val="24"/>
          <w:szCs w:val="24"/>
        </w:rPr>
      </w:sdtEndPr>
      <w:sdtContent>
        <w:tbl>
          <w:tblPr>
            <w:tblW w:w="5000" w:type="pct"/>
            <w:jc w:val="center"/>
            <w:tblLook w:val="04A0" w:firstRow="1" w:lastRow="0" w:firstColumn="1" w:lastColumn="0" w:noHBand="0" w:noVBand="1"/>
          </w:tblPr>
          <w:tblGrid>
            <w:gridCol w:w="9360"/>
          </w:tblGrid>
          <w:tr w:rsidR="0052532E" w14:paraId="268AA458" w14:textId="77777777" w:rsidTr="09E1B708">
            <w:trPr>
              <w:trHeight w:val="2880"/>
              <w:jc w:val="center"/>
            </w:trPr>
            <w:sdt>
              <w:sdtPr>
                <w:rPr>
                  <w:rFonts w:asciiTheme="majorHAnsi" w:eastAsiaTheme="majorEastAsia" w:hAnsiTheme="majorHAnsi" w:cstheme="majorBidi"/>
                  <w:caps/>
                  <w:sz w:val="28"/>
                  <w:szCs w:val="28"/>
                  <w:lang w:eastAsia="en-US"/>
                </w:rPr>
                <w:alias w:val="Company"/>
                <w:id w:val="15524243"/>
                <w:dataBinding w:prefixMappings="xmlns:ns0='http://schemas.openxmlformats.org/officeDocument/2006/extended-properties'" w:xpath="/ns0:Properties[1]/ns0:Company[1]" w:storeItemID="{6668398D-A668-4E3E-A5EB-62B293D839F1}"/>
                <w:text/>
              </w:sdtPr>
              <w:sdtEndPr>
                <w:rPr>
                  <w:szCs w:val="22"/>
                  <w:lang w:eastAsia="ja-JP"/>
                </w:rPr>
              </w:sdtEndPr>
              <w:sdtContent>
                <w:tc>
                  <w:tcPr>
                    <w:tcW w:w="5000" w:type="pct"/>
                  </w:tcPr>
                  <w:p w14:paraId="29791E42" w14:textId="60399080" w:rsidR="0052532E" w:rsidRPr="00BC2FE0" w:rsidRDefault="00A637CE" w:rsidP="0052532E">
                    <w:pPr>
                      <w:pStyle w:val="NoSpacing"/>
                      <w:jc w:val="center"/>
                      <w:rPr>
                        <w:rFonts w:asciiTheme="majorHAnsi" w:eastAsiaTheme="majorEastAsia" w:hAnsiTheme="majorHAnsi" w:cstheme="majorBidi"/>
                        <w:caps/>
                        <w:sz w:val="28"/>
                      </w:rPr>
                    </w:pPr>
                    <w:r w:rsidRPr="00BC2FE0">
                      <w:rPr>
                        <w:rFonts w:asciiTheme="majorHAnsi" w:eastAsiaTheme="majorEastAsia" w:hAnsiTheme="majorHAnsi" w:cstheme="majorBidi"/>
                        <w:caps/>
                        <w:sz w:val="28"/>
                        <w:szCs w:val="24"/>
                        <w:lang w:eastAsia="en-US"/>
                      </w:rPr>
                      <w:t>center for health information and analysis</w:t>
                    </w:r>
                  </w:p>
                </w:tc>
              </w:sdtContent>
            </w:sdt>
          </w:tr>
          <w:tr w:rsidR="0052532E" w:rsidRPr="00F36B5D" w14:paraId="457C5E35" w14:textId="77777777" w:rsidTr="09E1B708">
            <w:trPr>
              <w:trHeight w:val="1440"/>
              <w:jc w:val="center"/>
            </w:trPr>
            <w:sdt>
              <w:sdtPr>
                <w:rPr>
                  <w:rFonts w:ascii="Garamond" w:eastAsiaTheme="majorEastAsia" w:hAnsi="Garamond"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FCF79B2" w14:textId="77777777" w:rsidR="0052532E" w:rsidRPr="00F36B5D" w:rsidRDefault="0052532E" w:rsidP="0052532E">
                    <w:pPr>
                      <w:pStyle w:val="NoSpacing"/>
                      <w:jc w:val="center"/>
                      <w:rPr>
                        <w:rFonts w:ascii="Garamond" w:eastAsiaTheme="majorEastAsia" w:hAnsi="Garamond" w:cstheme="majorBidi"/>
                        <w:sz w:val="80"/>
                        <w:szCs w:val="80"/>
                      </w:rPr>
                    </w:pPr>
                    <w:r w:rsidRPr="00F36B5D">
                      <w:rPr>
                        <w:rFonts w:ascii="Garamond" w:eastAsiaTheme="majorEastAsia" w:hAnsi="Garamond" w:cstheme="majorBidi"/>
                        <w:sz w:val="80"/>
                        <w:szCs w:val="80"/>
                      </w:rPr>
                      <w:t>Data Specification Manual</w:t>
                    </w:r>
                  </w:p>
                </w:tc>
              </w:sdtContent>
            </w:sdt>
          </w:tr>
          <w:tr w:rsidR="0052532E" w:rsidRPr="00F36B5D" w14:paraId="087306EA" w14:textId="77777777" w:rsidTr="09E1B708">
            <w:trPr>
              <w:trHeight w:val="720"/>
              <w:jc w:val="center"/>
            </w:trPr>
            <w:sdt>
              <w:sdtPr>
                <w:rPr>
                  <w:rFonts w:ascii="Garamond" w:eastAsiaTheme="majorEastAsia" w:hAnsi="Garamond"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F36E81A" w14:textId="77777777" w:rsidR="0052532E" w:rsidRPr="00F36B5D" w:rsidRDefault="0052532E" w:rsidP="0052532E">
                    <w:pPr>
                      <w:pStyle w:val="NoSpacing"/>
                      <w:jc w:val="center"/>
                      <w:rPr>
                        <w:rFonts w:ascii="Garamond" w:eastAsiaTheme="majorEastAsia" w:hAnsi="Garamond" w:cstheme="majorBidi"/>
                        <w:sz w:val="44"/>
                        <w:szCs w:val="44"/>
                      </w:rPr>
                    </w:pPr>
                    <w:r w:rsidRPr="00F36B5D">
                      <w:rPr>
                        <w:rFonts w:ascii="Garamond" w:eastAsiaTheme="majorEastAsia" w:hAnsi="Garamond" w:cstheme="majorBidi"/>
                        <w:sz w:val="44"/>
                        <w:szCs w:val="44"/>
                      </w:rPr>
                      <w:t>957 CMR 2.00: Payer Reporting of Relative Prices</w:t>
                    </w:r>
                  </w:p>
                </w:tc>
              </w:sdtContent>
            </w:sdt>
          </w:tr>
          <w:tr w:rsidR="0052532E" w:rsidRPr="00F36B5D" w14:paraId="199D18BD" w14:textId="77777777" w:rsidTr="09E1B708">
            <w:trPr>
              <w:trHeight w:val="360"/>
              <w:jc w:val="center"/>
            </w:trPr>
            <w:tc>
              <w:tcPr>
                <w:tcW w:w="5000" w:type="pct"/>
                <w:vAlign w:val="center"/>
              </w:tcPr>
              <w:p w14:paraId="3FDCEDD7" w14:textId="77777777" w:rsidR="0052532E" w:rsidRPr="00F36B5D" w:rsidRDefault="0052532E">
                <w:pPr>
                  <w:pStyle w:val="NoSpacing"/>
                  <w:jc w:val="center"/>
                  <w:rPr>
                    <w:rFonts w:ascii="Garamond" w:hAnsi="Garamond"/>
                  </w:rPr>
                </w:pPr>
              </w:p>
            </w:tc>
          </w:tr>
          <w:tr w:rsidR="0052532E" w:rsidRPr="00F36B5D" w14:paraId="12A76B74" w14:textId="77777777" w:rsidTr="09E1B708">
            <w:trPr>
              <w:trHeight w:val="360"/>
              <w:jc w:val="center"/>
            </w:trPr>
            <w:tc>
              <w:tcPr>
                <w:tcW w:w="5000" w:type="pct"/>
                <w:vAlign w:val="center"/>
              </w:tcPr>
              <w:p w14:paraId="3ACAD703" w14:textId="67A60704" w:rsidR="0052532E" w:rsidRPr="00F36B5D" w:rsidRDefault="35F4D864" w:rsidP="00331BD6">
                <w:pPr>
                  <w:pStyle w:val="NoSpacing"/>
                  <w:jc w:val="center"/>
                  <w:rPr>
                    <w:rFonts w:ascii="Garamond" w:hAnsi="Garamond"/>
                    <w:b/>
                    <w:bCs/>
                  </w:rPr>
                </w:pPr>
                <w:r w:rsidRPr="09E1B708">
                  <w:rPr>
                    <w:rFonts w:ascii="Garamond" w:hAnsi="Garamond"/>
                    <w:b/>
                    <w:bCs/>
                  </w:rPr>
                  <w:t xml:space="preserve">August </w:t>
                </w:r>
                <w:r w:rsidR="46D2E4F6" w:rsidRPr="09E1B708">
                  <w:rPr>
                    <w:rFonts w:ascii="Garamond" w:hAnsi="Garamond"/>
                    <w:b/>
                    <w:bCs/>
                  </w:rPr>
                  <w:t>2</w:t>
                </w:r>
                <w:r w:rsidR="27770A13" w:rsidRPr="09E1B708">
                  <w:rPr>
                    <w:rFonts w:ascii="Garamond" w:hAnsi="Garamond"/>
                    <w:b/>
                    <w:bCs/>
                  </w:rPr>
                  <w:t>2</w:t>
                </w:r>
                <w:r w:rsidR="00F55259" w:rsidRPr="09E1B708">
                  <w:rPr>
                    <w:rFonts w:ascii="Garamond" w:hAnsi="Garamond"/>
                    <w:b/>
                    <w:bCs/>
                  </w:rPr>
                  <w:t xml:space="preserve">, </w:t>
                </w:r>
                <w:r w:rsidR="4CD87102" w:rsidRPr="09E1B708">
                  <w:rPr>
                    <w:rFonts w:ascii="Garamond" w:hAnsi="Garamond"/>
                    <w:b/>
                    <w:bCs/>
                  </w:rPr>
                  <w:t>202</w:t>
                </w:r>
                <w:r w:rsidR="1DD4AC96" w:rsidRPr="09E1B708">
                  <w:rPr>
                    <w:rFonts w:ascii="Garamond" w:hAnsi="Garamond"/>
                    <w:b/>
                    <w:bCs/>
                  </w:rPr>
                  <w:t>4</w:t>
                </w:r>
              </w:p>
            </w:tc>
          </w:tr>
        </w:tbl>
        <w:p w14:paraId="3BD2010E" w14:textId="77777777" w:rsidR="0052532E" w:rsidRDefault="0052532E"/>
        <w:p w14:paraId="027F4D9B" w14:textId="77777777" w:rsidR="0052532E" w:rsidRDefault="0052532E"/>
        <w:p w14:paraId="68D0ECC7" w14:textId="77777777" w:rsidR="0052532E" w:rsidRDefault="0052532E"/>
        <w:p w14:paraId="32187459" w14:textId="77777777" w:rsidR="0052532E" w:rsidRDefault="0052532E">
          <w:pPr>
            <w:rPr>
              <w:rFonts w:ascii="Garamond" w:hAnsi="Garamond"/>
              <w:b/>
              <w:bCs/>
              <w:color w:val="000000"/>
            </w:rPr>
          </w:pPr>
          <w:r>
            <w:rPr>
              <w:rFonts w:ascii="Garamond" w:hAnsi="Garamond"/>
              <w:b/>
              <w:bCs/>
            </w:rPr>
            <w:br w:type="page"/>
          </w:r>
        </w:p>
      </w:sdtContent>
    </w:sdt>
    <w:sdt>
      <w:sdtPr>
        <w:rPr>
          <w:rFonts w:ascii="Garamond" w:eastAsia="Times New Roman" w:hAnsi="Garamond" w:cs="Times New Roman"/>
          <w:b w:val="0"/>
          <w:bCs w:val="0"/>
          <w:color w:val="000000"/>
          <w:sz w:val="24"/>
          <w:szCs w:val="24"/>
          <w:lang w:eastAsia="en-US"/>
        </w:rPr>
        <w:id w:val="916053675"/>
        <w:docPartObj>
          <w:docPartGallery w:val="Table of Contents"/>
          <w:docPartUnique/>
        </w:docPartObj>
      </w:sdtPr>
      <w:sdtEndPr>
        <w:rPr>
          <w:rFonts w:cstheme="minorBidi"/>
          <w:color w:val="000000" w:themeColor="text1"/>
          <w:sz w:val="22"/>
          <w:szCs w:val="22"/>
        </w:rPr>
      </w:sdtEndPr>
      <w:sdtContent>
        <w:p w14:paraId="6F3453F2" w14:textId="77777777" w:rsidR="00F36B5D" w:rsidRPr="007A765E" w:rsidRDefault="00F36B5D">
          <w:pPr>
            <w:pStyle w:val="TOCHeading"/>
            <w:rPr>
              <w:rFonts w:ascii="Garamond" w:hAnsi="Garamond"/>
            </w:rPr>
          </w:pPr>
          <w:r w:rsidRPr="007A765E">
            <w:rPr>
              <w:rFonts w:ascii="Garamond" w:hAnsi="Garamond"/>
            </w:rPr>
            <w:t>Contents</w:t>
          </w:r>
        </w:p>
        <w:p w14:paraId="7F1DB9E6" w14:textId="3940A782" w:rsidR="00B0111B" w:rsidRDefault="00F36B5D">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C661A9">
            <w:rPr>
              <w:b w:val="0"/>
            </w:rPr>
            <w:fldChar w:fldCharType="begin"/>
          </w:r>
          <w:r w:rsidRPr="00C661A9">
            <w:rPr>
              <w:b w:val="0"/>
            </w:rPr>
            <w:instrText xml:space="preserve"> TOC \o "1-3" \h \z \u </w:instrText>
          </w:r>
          <w:r w:rsidRPr="00C661A9">
            <w:rPr>
              <w:b w:val="0"/>
            </w:rPr>
            <w:fldChar w:fldCharType="separate"/>
          </w:r>
          <w:hyperlink w:anchor="_Toc112161024" w:history="1">
            <w:r w:rsidR="00B0111B" w:rsidRPr="00E20831">
              <w:rPr>
                <w:rStyle w:val="Hyperlink"/>
                <w:rFonts w:ascii="Garamond" w:hAnsi="Garamond" w:cstheme="minorHAnsi"/>
                <w:noProof/>
              </w:rPr>
              <w:t>1.</w:t>
            </w:r>
            <w:r w:rsidR="00B0111B">
              <w:rPr>
                <w:rFonts w:asciiTheme="minorHAnsi" w:eastAsiaTheme="minorEastAsia" w:hAnsiTheme="minorHAnsi" w:cstheme="minorBidi"/>
                <w:b w:val="0"/>
                <w:bCs w:val="0"/>
                <w:caps w:val="0"/>
                <w:noProof/>
                <w:sz w:val="22"/>
                <w:szCs w:val="22"/>
              </w:rPr>
              <w:tab/>
            </w:r>
            <w:r w:rsidR="00B0111B" w:rsidRPr="00E20831">
              <w:rPr>
                <w:rStyle w:val="Hyperlink"/>
                <w:rFonts w:ascii="Garamond" w:hAnsi="Garamond" w:cstheme="minorHAnsi"/>
                <w:noProof/>
              </w:rPr>
              <w:t>Summary of Changes</w:t>
            </w:r>
            <w:r w:rsidR="00B0111B">
              <w:rPr>
                <w:noProof/>
                <w:webHidden/>
              </w:rPr>
              <w:tab/>
            </w:r>
            <w:r w:rsidR="00B0111B">
              <w:rPr>
                <w:noProof/>
                <w:webHidden/>
              </w:rPr>
              <w:fldChar w:fldCharType="begin"/>
            </w:r>
            <w:r w:rsidR="00B0111B">
              <w:rPr>
                <w:noProof/>
                <w:webHidden/>
              </w:rPr>
              <w:instrText xml:space="preserve"> PAGEREF _Toc112161024 \h </w:instrText>
            </w:r>
            <w:r w:rsidR="00B0111B">
              <w:rPr>
                <w:noProof/>
                <w:webHidden/>
              </w:rPr>
            </w:r>
            <w:r w:rsidR="00B0111B">
              <w:rPr>
                <w:noProof/>
                <w:webHidden/>
              </w:rPr>
              <w:fldChar w:fldCharType="separate"/>
            </w:r>
            <w:r w:rsidR="00B32B5F">
              <w:rPr>
                <w:noProof/>
                <w:webHidden/>
              </w:rPr>
              <w:t>2</w:t>
            </w:r>
            <w:r w:rsidR="00B0111B">
              <w:rPr>
                <w:noProof/>
                <w:webHidden/>
              </w:rPr>
              <w:fldChar w:fldCharType="end"/>
            </w:r>
          </w:hyperlink>
        </w:p>
        <w:p w14:paraId="3271A856" w14:textId="7995A9E0" w:rsidR="00B0111B" w:rsidRDefault="003F617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12161025" w:history="1">
            <w:r w:rsidR="00B0111B" w:rsidRPr="00E20831">
              <w:rPr>
                <w:rStyle w:val="Hyperlink"/>
                <w:rFonts w:ascii="Garamond" w:hAnsi="Garamond" w:cstheme="minorHAnsi"/>
                <w:noProof/>
              </w:rPr>
              <w:t>2.</w:t>
            </w:r>
            <w:r w:rsidR="00B0111B">
              <w:rPr>
                <w:rFonts w:asciiTheme="minorHAnsi" w:eastAsiaTheme="minorEastAsia" w:hAnsiTheme="minorHAnsi" w:cstheme="minorBidi"/>
                <w:b w:val="0"/>
                <w:bCs w:val="0"/>
                <w:caps w:val="0"/>
                <w:noProof/>
                <w:sz w:val="22"/>
                <w:szCs w:val="22"/>
              </w:rPr>
              <w:tab/>
            </w:r>
            <w:r w:rsidR="00B0111B" w:rsidRPr="00E20831">
              <w:rPr>
                <w:rStyle w:val="Hyperlink"/>
                <w:rFonts w:ascii="Garamond" w:hAnsi="Garamond" w:cstheme="minorHAnsi"/>
                <w:noProof/>
              </w:rPr>
              <w:t>Introduction</w:t>
            </w:r>
            <w:r w:rsidR="00B0111B">
              <w:rPr>
                <w:noProof/>
                <w:webHidden/>
              </w:rPr>
              <w:tab/>
            </w:r>
            <w:r w:rsidR="00B0111B">
              <w:rPr>
                <w:noProof/>
                <w:webHidden/>
              </w:rPr>
              <w:fldChar w:fldCharType="begin"/>
            </w:r>
            <w:r w:rsidR="00B0111B">
              <w:rPr>
                <w:noProof/>
                <w:webHidden/>
              </w:rPr>
              <w:instrText xml:space="preserve"> PAGEREF _Toc112161025 \h </w:instrText>
            </w:r>
            <w:r w:rsidR="00B0111B">
              <w:rPr>
                <w:noProof/>
                <w:webHidden/>
              </w:rPr>
            </w:r>
            <w:r w:rsidR="00B0111B">
              <w:rPr>
                <w:noProof/>
                <w:webHidden/>
              </w:rPr>
              <w:fldChar w:fldCharType="separate"/>
            </w:r>
            <w:r w:rsidR="00B32B5F">
              <w:rPr>
                <w:noProof/>
                <w:webHidden/>
              </w:rPr>
              <w:t>2</w:t>
            </w:r>
            <w:r w:rsidR="00B0111B">
              <w:rPr>
                <w:noProof/>
                <w:webHidden/>
              </w:rPr>
              <w:fldChar w:fldCharType="end"/>
            </w:r>
          </w:hyperlink>
        </w:p>
        <w:p w14:paraId="4D53C7C7" w14:textId="6CC9A0E4" w:rsidR="00B0111B" w:rsidRDefault="003F617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12161026" w:history="1">
            <w:r w:rsidR="00B0111B" w:rsidRPr="00E20831">
              <w:rPr>
                <w:rStyle w:val="Hyperlink"/>
                <w:rFonts w:ascii="Garamond" w:hAnsi="Garamond" w:cstheme="minorHAnsi"/>
                <w:noProof/>
              </w:rPr>
              <w:t>3.</w:t>
            </w:r>
            <w:r w:rsidR="00B0111B">
              <w:rPr>
                <w:rFonts w:asciiTheme="minorHAnsi" w:eastAsiaTheme="minorEastAsia" w:hAnsiTheme="minorHAnsi" w:cstheme="minorBidi"/>
                <w:b w:val="0"/>
                <w:bCs w:val="0"/>
                <w:caps w:val="0"/>
                <w:noProof/>
                <w:sz w:val="22"/>
                <w:szCs w:val="22"/>
              </w:rPr>
              <w:tab/>
            </w:r>
            <w:r w:rsidR="00B0111B" w:rsidRPr="00E20831">
              <w:rPr>
                <w:rStyle w:val="Hyperlink"/>
                <w:rFonts w:ascii="Garamond" w:hAnsi="Garamond" w:cstheme="minorHAnsi"/>
                <w:noProof/>
              </w:rPr>
              <w:t>File Submission Instructions &amp; Schedule</w:t>
            </w:r>
            <w:r w:rsidR="00B0111B">
              <w:rPr>
                <w:noProof/>
                <w:webHidden/>
              </w:rPr>
              <w:tab/>
            </w:r>
            <w:r w:rsidR="00B0111B">
              <w:rPr>
                <w:noProof/>
                <w:webHidden/>
              </w:rPr>
              <w:fldChar w:fldCharType="begin"/>
            </w:r>
            <w:r w:rsidR="00B0111B">
              <w:rPr>
                <w:noProof/>
                <w:webHidden/>
              </w:rPr>
              <w:instrText xml:space="preserve"> PAGEREF _Toc112161026 \h </w:instrText>
            </w:r>
            <w:r w:rsidR="00B0111B">
              <w:rPr>
                <w:noProof/>
                <w:webHidden/>
              </w:rPr>
            </w:r>
            <w:r w:rsidR="00B0111B">
              <w:rPr>
                <w:noProof/>
                <w:webHidden/>
              </w:rPr>
              <w:fldChar w:fldCharType="separate"/>
            </w:r>
            <w:r w:rsidR="00B32B5F">
              <w:rPr>
                <w:noProof/>
                <w:webHidden/>
              </w:rPr>
              <w:t>3</w:t>
            </w:r>
            <w:r w:rsidR="00B0111B">
              <w:rPr>
                <w:noProof/>
                <w:webHidden/>
              </w:rPr>
              <w:fldChar w:fldCharType="end"/>
            </w:r>
          </w:hyperlink>
        </w:p>
        <w:p w14:paraId="222403A6" w14:textId="1F29D8DD" w:rsidR="00B0111B" w:rsidRDefault="003F617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12161027" w:history="1">
            <w:r w:rsidR="00B0111B" w:rsidRPr="00E20831">
              <w:rPr>
                <w:rStyle w:val="Hyperlink"/>
                <w:rFonts w:ascii="Garamond" w:hAnsi="Garamond" w:cstheme="minorHAnsi"/>
                <w:noProof/>
              </w:rPr>
              <w:t>4.</w:t>
            </w:r>
            <w:r w:rsidR="00B0111B">
              <w:rPr>
                <w:rFonts w:asciiTheme="minorHAnsi" w:eastAsiaTheme="minorEastAsia" w:hAnsiTheme="minorHAnsi" w:cstheme="minorBidi"/>
                <w:b w:val="0"/>
                <w:bCs w:val="0"/>
                <w:caps w:val="0"/>
                <w:noProof/>
                <w:sz w:val="22"/>
                <w:szCs w:val="22"/>
              </w:rPr>
              <w:tab/>
            </w:r>
            <w:r w:rsidR="00B0111B" w:rsidRPr="00E20831">
              <w:rPr>
                <w:rStyle w:val="Hyperlink"/>
                <w:rFonts w:ascii="Garamond" w:hAnsi="Garamond" w:cstheme="minorHAnsi"/>
                <w:noProof/>
              </w:rPr>
              <w:t>Identification of Providers (Physician Groups and Other Provider)</w:t>
            </w:r>
            <w:r w:rsidR="00B0111B">
              <w:rPr>
                <w:noProof/>
                <w:webHidden/>
              </w:rPr>
              <w:tab/>
            </w:r>
            <w:r w:rsidR="00B0111B">
              <w:rPr>
                <w:noProof/>
                <w:webHidden/>
              </w:rPr>
              <w:fldChar w:fldCharType="begin"/>
            </w:r>
            <w:r w:rsidR="00B0111B">
              <w:rPr>
                <w:noProof/>
                <w:webHidden/>
              </w:rPr>
              <w:instrText xml:space="preserve"> PAGEREF _Toc112161027 \h </w:instrText>
            </w:r>
            <w:r w:rsidR="00B0111B">
              <w:rPr>
                <w:noProof/>
                <w:webHidden/>
              </w:rPr>
            </w:r>
            <w:r w:rsidR="00B0111B">
              <w:rPr>
                <w:noProof/>
                <w:webHidden/>
              </w:rPr>
              <w:fldChar w:fldCharType="separate"/>
            </w:r>
            <w:r w:rsidR="00B32B5F">
              <w:rPr>
                <w:noProof/>
                <w:webHidden/>
              </w:rPr>
              <w:t>4</w:t>
            </w:r>
            <w:r w:rsidR="00B0111B">
              <w:rPr>
                <w:noProof/>
                <w:webHidden/>
              </w:rPr>
              <w:fldChar w:fldCharType="end"/>
            </w:r>
          </w:hyperlink>
        </w:p>
        <w:p w14:paraId="5AACAF6D" w14:textId="50ADFB65" w:rsidR="00B0111B" w:rsidRDefault="003F617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12161028" w:history="1">
            <w:r w:rsidR="00B0111B" w:rsidRPr="00E20831">
              <w:rPr>
                <w:rStyle w:val="Hyperlink"/>
                <w:rFonts w:ascii="Garamond" w:hAnsi="Garamond" w:cstheme="minorHAnsi"/>
                <w:noProof/>
              </w:rPr>
              <w:t>5.</w:t>
            </w:r>
            <w:r w:rsidR="00B0111B">
              <w:rPr>
                <w:rFonts w:asciiTheme="minorHAnsi" w:eastAsiaTheme="minorEastAsia" w:hAnsiTheme="minorHAnsi" w:cstheme="minorBidi"/>
                <w:b w:val="0"/>
                <w:bCs w:val="0"/>
                <w:caps w:val="0"/>
                <w:noProof/>
                <w:sz w:val="22"/>
                <w:szCs w:val="22"/>
              </w:rPr>
              <w:tab/>
            </w:r>
            <w:r w:rsidR="00B0111B" w:rsidRPr="00E20831">
              <w:rPr>
                <w:rStyle w:val="Hyperlink"/>
                <w:rFonts w:ascii="Garamond" w:hAnsi="Garamond" w:cstheme="minorHAnsi"/>
                <w:noProof/>
              </w:rPr>
              <w:t>Payer Reporting Guidelines</w:t>
            </w:r>
            <w:r w:rsidR="00B0111B">
              <w:rPr>
                <w:noProof/>
                <w:webHidden/>
              </w:rPr>
              <w:tab/>
            </w:r>
            <w:r w:rsidR="00B0111B">
              <w:rPr>
                <w:noProof/>
                <w:webHidden/>
              </w:rPr>
              <w:fldChar w:fldCharType="begin"/>
            </w:r>
            <w:r w:rsidR="00B0111B">
              <w:rPr>
                <w:noProof/>
                <w:webHidden/>
              </w:rPr>
              <w:instrText xml:space="preserve"> PAGEREF _Toc112161028 \h </w:instrText>
            </w:r>
            <w:r w:rsidR="00B0111B">
              <w:rPr>
                <w:noProof/>
                <w:webHidden/>
              </w:rPr>
            </w:r>
            <w:r w:rsidR="00B0111B">
              <w:rPr>
                <w:noProof/>
                <w:webHidden/>
              </w:rPr>
              <w:fldChar w:fldCharType="separate"/>
            </w:r>
            <w:r w:rsidR="00B32B5F">
              <w:rPr>
                <w:noProof/>
                <w:webHidden/>
              </w:rPr>
              <w:t>7</w:t>
            </w:r>
            <w:r w:rsidR="00B0111B">
              <w:rPr>
                <w:noProof/>
                <w:webHidden/>
              </w:rPr>
              <w:fldChar w:fldCharType="end"/>
            </w:r>
          </w:hyperlink>
        </w:p>
        <w:p w14:paraId="2DD2C450" w14:textId="29DF4620" w:rsidR="00B0111B" w:rsidRDefault="003F6170">
          <w:pPr>
            <w:pStyle w:val="TOC2"/>
            <w:tabs>
              <w:tab w:val="left" w:pos="720"/>
              <w:tab w:val="right" w:leader="dot" w:pos="9350"/>
            </w:tabs>
            <w:rPr>
              <w:rFonts w:asciiTheme="minorHAnsi" w:eastAsiaTheme="minorEastAsia" w:hAnsiTheme="minorHAnsi" w:cstheme="minorBidi"/>
              <w:smallCaps w:val="0"/>
              <w:noProof/>
              <w:sz w:val="22"/>
              <w:szCs w:val="22"/>
            </w:rPr>
          </w:pPr>
          <w:hyperlink w:anchor="_Toc112161029" w:history="1">
            <w:r w:rsidR="00B0111B" w:rsidRPr="00E20831">
              <w:rPr>
                <w:rStyle w:val="Hyperlink"/>
                <w:rFonts w:ascii="Symbol" w:hAnsi="Symbol" w:cstheme="minorHAnsi"/>
                <w:noProof/>
              </w:rPr>
              <w:t></w:t>
            </w:r>
            <w:r w:rsidR="00B0111B">
              <w:rPr>
                <w:rFonts w:asciiTheme="minorHAnsi" w:eastAsiaTheme="minorEastAsia" w:hAnsiTheme="minorHAnsi" w:cstheme="minorBidi"/>
                <w:smallCaps w:val="0"/>
                <w:noProof/>
                <w:sz w:val="22"/>
                <w:szCs w:val="22"/>
              </w:rPr>
              <w:tab/>
            </w:r>
            <w:r w:rsidR="00B0111B" w:rsidRPr="00E20831">
              <w:rPr>
                <w:rStyle w:val="Hyperlink"/>
                <w:rFonts w:ascii="Garamond" w:hAnsi="Garamond" w:cstheme="minorHAnsi"/>
                <w:b/>
                <w:noProof/>
              </w:rPr>
              <w:t>Definitions</w:t>
            </w:r>
            <w:r w:rsidR="00B0111B">
              <w:rPr>
                <w:noProof/>
                <w:webHidden/>
              </w:rPr>
              <w:tab/>
            </w:r>
            <w:r w:rsidR="00B0111B">
              <w:rPr>
                <w:noProof/>
                <w:webHidden/>
              </w:rPr>
              <w:fldChar w:fldCharType="begin"/>
            </w:r>
            <w:r w:rsidR="00B0111B">
              <w:rPr>
                <w:noProof/>
                <w:webHidden/>
              </w:rPr>
              <w:instrText xml:space="preserve"> PAGEREF _Toc112161029 \h </w:instrText>
            </w:r>
            <w:r w:rsidR="00B0111B">
              <w:rPr>
                <w:noProof/>
                <w:webHidden/>
              </w:rPr>
            </w:r>
            <w:r w:rsidR="00B0111B">
              <w:rPr>
                <w:noProof/>
                <w:webHidden/>
              </w:rPr>
              <w:fldChar w:fldCharType="separate"/>
            </w:r>
            <w:r w:rsidR="00B32B5F">
              <w:rPr>
                <w:noProof/>
                <w:webHidden/>
              </w:rPr>
              <w:t>8</w:t>
            </w:r>
            <w:r w:rsidR="00B0111B">
              <w:rPr>
                <w:noProof/>
                <w:webHidden/>
              </w:rPr>
              <w:fldChar w:fldCharType="end"/>
            </w:r>
          </w:hyperlink>
        </w:p>
        <w:p w14:paraId="09C1F121" w14:textId="7DEDC5D3" w:rsidR="00B0111B" w:rsidRDefault="003F6170">
          <w:pPr>
            <w:pStyle w:val="TOC2"/>
            <w:tabs>
              <w:tab w:val="left" w:pos="720"/>
              <w:tab w:val="right" w:leader="dot" w:pos="9350"/>
            </w:tabs>
            <w:rPr>
              <w:rFonts w:asciiTheme="minorHAnsi" w:eastAsiaTheme="minorEastAsia" w:hAnsiTheme="minorHAnsi" w:cstheme="minorBidi"/>
              <w:smallCaps w:val="0"/>
              <w:noProof/>
              <w:sz w:val="22"/>
              <w:szCs w:val="22"/>
            </w:rPr>
          </w:pPr>
          <w:hyperlink w:anchor="_Toc112161030" w:history="1">
            <w:r w:rsidR="00B0111B" w:rsidRPr="00E20831">
              <w:rPr>
                <w:rStyle w:val="Hyperlink"/>
                <w:rFonts w:ascii="Symbol" w:hAnsi="Symbol" w:cstheme="minorHAnsi"/>
                <w:noProof/>
              </w:rPr>
              <w:t></w:t>
            </w:r>
            <w:r w:rsidR="00B0111B">
              <w:rPr>
                <w:rFonts w:asciiTheme="minorHAnsi" w:eastAsiaTheme="minorEastAsia" w:hAnsiTheme="minorHAnsi" w:cstheme="minorBidi"/>
                <w:smallCaps w:val="0"/>
                <w:noProof/>
                <w:sz w:val="22"/>
                <w:szCs w:val="22"/>
              </w:rPr>
              <w:tab/>
            </w:r>
            <w:r w:rsidR="00B0111B" w:rsidRPr="00E20831">
              <w:rPr>
                <w:rStyle w:val="Hyperlink"/>
                <w:rFonts w:ascii="Garamond" w:hAnsi="Garamond" w:cstheme="minorHAnsi"/>
                <w:b/>
                <w:noProof/>
              </w:rPr>
              <w:t>File Layouts</w:t>
            </w:r>
            <w:r w:rsidR="00B0111B">
              <w:rPr>
                <w:noProof/>
                <w:webHidden/>
              </w:rPr>
              <w:tab/>
            </w:r>
            <w:r w:rsidR="00B0111B">
              <w:rPr>
                <w:noProof/>
                <w:webHidden/>
              </w:rPr>
              <w:fldChar w:fldCharType="begin"/>
            </w:r>
            <w:r w:rsidR="00B0111B">
              <w:rPr>
                <w:noProof/>
                <w:webHidden/>
              </w:rPr>
              <w:instrText xml:space="preserve"> PAGEREF _Toc112161030 \h </w:instrText>
            </w:r>
            <w:r w:rsidR="00B0111B">
              <w:rPr>
                <w:noProof/>
                <w:webHidden/>
              </w:rPr>
            </w:r>
            <w:r w:rsidR="00B0111B">
              <w:rPr>
                <w:noProof/>
                <w:webHidden/>
              </w:rPr>
              <w:fldChar w:fldCharType="separate"/>
            </w:r>
            <w:r w:rsidR="00B32B5F">
              <w:rPr>
                <w:noProof/>
                <w:webHidden/>
              </w:rPr>
              <w:t>8</w:t>
            </w:r>
            <w:r w:rsidR="00B0111B">
              <w:rPr>
                <w:noProof/>
                <w:webHidden/>
              </w:rPr>
              <w:fldChar w:fldCharType="end"/>
            </w:r>
          </w:hyperlink>
        </w:p>
        <w:p w14:paraId="704C3E13" w14:textId="7E2E7F5B"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1" w:history="1">
            <w:r w:rsidR="00B0111B" w:rsidRPr="00E20831">
              <w:rPr>
                <w:rStyle w:val="Hyperlink"/>
                <w:rFonts w:ascii="Garamond" w:hAnsi="Garamond" w:cstheme="minorHAnsi"/>
                <w:noProof/>
              </w:rPr>
              <w:t>Appendix A: Uniform Relative Price Provider List</w:t>
            </w:r>
            <w:r w:rsidR="00B0111B">
              <w:rPr>
                <w:noProof/>
                <w:webHidden/>
              </w:rPr>
              <w:tab/>
            </w:r>
            <w:r w:rsidR="00B0111B">
              <w:rPr>
                <w:noProof/>
                <w:webHidden/>
              </w:rPr>
              <w:fldChar w:fldCharType="begin"/>
            </w:r>
            <w:r w:rsidR="00B0111B">
              <w:rPr>
                <w:noProof/>
                <w:webHidden/>
              </w:rPr>
              <w:instrText xml:space="preserve"> PAGEREF _Toc112161031 \h </w:instrText>
            </w:r>
            <w:r w:rsidR="00B0111B">
              <w:rPr>
                <w:noProof/>
                <w:webHidden/>
              </w:rPr>
            </w:r>
            <w:r w:rsidR="00B0111B">
              <w:rPr>
                <w:noProof/>
                <w:webHidden/>
              </w:rPr>
              <w:fldChar w:fldCharType="separate"/>
            </w:r>
            <w:r w:rsidR="00B32B5F">
              <w:rPr>
                <w:noProof/>
                <w:webHidden/>
              </w:rPr>
              <w:t>12</w:t>
            </w:r>
            <w:r w:rsidR="00B0111B">
              <w:rPr>
                <w:noProof/>
                <w:webHidden/>
              </w:rPr>
              <w:fldChar w:fldCharType="end"/>
            </w:r>
          </w:hyperlink>
        </w:p>
        <w:p w14:paraId="37F65CDC" w14:textId="0D71BE94"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2" w:history="1">
            <w:r w:rsidR="00B0111B" w:rsidRPr="00E20831">
              <w:rPr>
                <w:rStyle w:val="Hyperlink"/>
                <w:rFonts w:ascii="Garamond" w:hAnsi="Garamond" w:cstheme="minorHAnsi"/>
                <w:noProof/>
              </w:rPr>
              <w:t xml:space="preserve">Appendix B: RP Methodology Document </w:t>
            </w:r>
            <w:r w:rsidR="00B0111B">
              <w:rPr>
                <w:noProof/>
                <w:webHidden/>
              </w:rPr>
              <w:tab/>
            </w:r>
            <w:r w:rsidR="00B0111B">
              <w:rPr>
                <w:noProof/>
                <w:webHidden/>
              </w:rPr>
              <w:fldChar w:fldCharType="begin"/>
            </w:r>
            <w:r w:rsidR="00B0111B">
              <w:rPr>
                <w:noProof/>
                <w:webHidden/>
              </w:rPr>
              <w:instrText xml:space="preserve"> PAGEREF _Toc112161032 \h </w:instrText>
            </w:r>
            <w:r w:rsidR="00B0111B">
              <w:rPr>
                <w:noProof/>
                <w:webHidden/>
              </w:rPr>
            </w:r>
            <w:r w:rsidR="00B0111B">
              <w:rPr>
                <w:noProof/>
                <w:webHidden/>
              </w:rPr>
              <w:fldChar w:fldCharType="separate"/>
            </w:r>
            <w:r w:rsidR="00B32B5F">
              <w:rPr>
                <w:noProof/>
                <w:webHidden/>
              </w:rPr>
              <w:t>13</w:t>
            </w:r>
            <w:r w:rsidR="00B0111B">
              <w:rPr>
                <w:noProof/>
                <w:webHidden/>
              </w:rPr>
              <w:fldChar w:fldCharType="end"/>
            </w:r>
          </w:hyperlink>
        </w:p>
        <w:p w14:paraId="01552470" w14:textId="6E20A2AB"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3" w:history="1">
            <w:r w:rsidR="00B0111B" w:rsidRPr="00E20831">
              <w:rPr>
                <w:rStyle w:val="Hyperlink"/>
                <w:rFonts w:ascii="Garamond" w:hAnsi="Garamond" w:cstheme="minorHAnsi"/>
                <w:noProof/>
              </w:rPr>
              <w:t>Appendix C: Data Submission Guidelines</w:t>
            </w:r>
            <w:r w:rsidR="00B0111B">
              <w:rPr>
                <w:noProof/>
                <w:webHidden/>
              </w:rPr>
              <w:tab/>
            </w:r>
            <w:r w:rsidR="00B0111B">
              <w:rPr>
                <w:noProof/>
                <w:webHidden/>
              </w:rPr>
              <w:fldChar w:fldCharType="begin"/>
            </w:r>
            <w:r w:rsidR="00B0111B">
              <w:rPr>
                <w:noProof/>
                <w:webHidden/>
              </w:rPr>
              <w:instrText xml:space="preserve"> PAGEREF _Toc112161033 \h </w:instrText>
            </w:r>
            <w:r w:rsidR="00B0111B">
              <w:rPr>
                <w:noProof/>
                <w:webHidden/>
              </w:rPr>
            </w:r>
            <w:r w:rsidR="00B0111B">
              <w:rPr>
                <w:noProof/>
                <w:webHidden/>
              </w:rPr>
              <w:fldChar w:fldCharType="separate"/>
            </w:r>
            <w:r w:rsidR="00B32B5F">
              <w:rPr>
                <w:noProof/>
                <w:webHidden/>
              </w:rPr>
              <w:t>14</w:t>
            </w:r>
            <w:r w:rsidR="00B0111B">
              <w:rPr>
                <w:noProof/>
                <w:webHidden/>
              </w:rPr>
              <w:fldChar w:fldCharType="end"/>
            </w:r>
          </w:hyperlink>
        </w:p>
        <w:p w14:paraId="3A639F39" w14:textId="1CAB26E9"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4" w:history="1">
            <w:r w:rsidR="00B0111B" w:rsidRPr="00E20831">
              <w:rPr>
                <w:rStyle w:val="Hyperlink"/>
                <w:rFonts w:ascii="Garamond" w:hAnsi="Garamond" w:cstheme="minorHAnsi"/>
                <w:noProof/>
              </w:rPr>
              <w:t>Appendix D: Reference Tables</w:t>
            </w:r>
            <w:r w:rsidR="00B0111B">
              <w:rPr>
                <w:noProof/>
                <w:webHidden/>
              </w:rPr>
              <w:tab/>
            </w:r>
            <w:r w:rsidR="00B0111B">
              <w:rPr>
                <w:noProof/>
                <w:webHidden/>
              </w:rPr>
              <w:fldChar w:fldCharType="begin"/>
            </w:r>
            <w:r w:rsidR="00B0111B">
              <w:rPr>
                <w:noProof/>
                <w:webHidden/>
              </w:rPr>
              <w:instrText xml:space="preserve"> PAGEREF _Toc112161034 \h </w:instrText>
            </w:r>
            <w:r w:rsidR="00B0111B">
              <w:rPr>
                <w:noProof/>
                <w:webHidden/>
              </w:rPr>
            </w:r>
            <w:r w:rsidR="00B0111B">
              <w:rPr>
                <w:noProof/>
                <w:webHidden/>
              </w:rPr>
              <w:fldChar w:fldCharType="separate"/>
            </w:r>
            <w:r w:rsidR="00B32B5F">
              <w:rPr>
                <w:noProof/>
                <w:webHidden/>
              </w:rPr>
              <w:t>21</w:t>
            </w:r>
            <w:r w:rsidR="00B0111B">
              <w:rPr>
                <w:noProof/>
                <w:webHidden/>
              </w:rPr>
              <w:fldChar w:fldCharType="end"/>
            </w:r>
          </w:hyperlink>
        </w:p>
        <w:p w14:paraId="1AE032F0" w14:textId="46AD9700"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5" w:history="1">
            <w:r w:rsidR="00B0111B" w:rsidRPr="00E20831">
              <w:rPr>
                <w:rStyle w:val="Hyperlink"/>
                <w:rFonts w:ascii="Garamond" w:hAnsi="Garamond" w:cstheme="minorHAnsi"/>
                <w:noProof/>
              </w:rPr>
              <w:t>Appendix E: Submission Naming Conventions</w:t>
            </w:r>
            <w:r w:rsidR="00B0111B">
              <w:rPr>
                <w:noProof/>
                <w:webHidden/>
              </w:rPr>
              <w:tab/>
            </w:r>
            <w:r w:rsidR="00B0111B">
              <w:rPr>
                <w:noProof/>
                <w:webHidden/>
              </w:rPr>
              <w:fldChar w:fldCharType="begin"/>
            </w:r>
            <w:r w:rsidR="00B0111B">
              <w:rPr>
                <w:noProof/>
                <w:webHidden/>
              </w:rPr>
              <w:instrText xml:space="preserve"> PAGEREF _Toc112161035 \h </w:instrText>
            </w:r>
            <w:r w:rsidR="00B0111B">
              <w:rPr>
                <w:noProof/>
                <w:webHidden/>
              </w:rPr>
            </w:r>
            <w:r w:rsidR="00B0111B">
              <w:rPr>
                <w:noProof/>
                <w:webHidden/>
              </w:rPr>
              <w:fldChar w:fldCharType="separate"/>
            </w:r>
            <w:r w:rsidR="00B32B5F">
              <w:rPr>
                <w:noProof/>
                <w:webHidden/>
              </w:rPr>
              <w:t>23</w:t>
            </w:r>
            <w:r w:rsidR="00B0111B">
              <w:rPr>
                <w:noProof/>
                <w:webHidden/>
              </w:rPr>
              <w:fldChar w:fldCharType="end"/>
            </w:r>
          </w:hyperlink>
        </w:p>
        <w:p w14:paraId="260EEF57" w14:textId="259DFBBF"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6" w:history="1">
            <w:r w:rsidR="00B0111B" w:rsidRPr="00E20831">
              <w:rPr>
                <w:rStyle w:val="Hyperlink"/>
                <w:rFonts w:ascii="Garamond" w:hAnsi="Garamond" w:cstheme="minorHAnsi"/>
                <w:noProof/>
              </w:rPr>
              <w:t>Appendix F: Reporting Non-Claims Payments in Hospital Outpatient, Physician Group, and Other Provider files</w:t>
            </w:r>
            <w:r w:rsidR="00B0111B">
              <w:rPr>
                <w:noProof/>
                <w:webHidden/>
              </w:rPr>
              <w:tab/>
            </w:r>
            <w:r w:rsidR="00B0111B">
              <w:rPr>
                <w:noProof/>
                <w:webHidden/>
              </w:rPr>
              <w:fldChar w:fldCharType="begin"/>
            </w:r>
            <w:r w:rsidR="00B0111B">
              <w:rPr>
                <w:noProof/>
                <w:webHidden/>
              </w:rPr>
              <w:instrText xml:space="preserve"> PAGEREF _Toc112161036 \h </w:instrText>
            </w:r>
            <w:r w:rsidR="00B0111B">
              <w:rPr>
                <w:noProof/>
                <w:webHidden/>
              </w:rPr>
            </w:r>
            <w:r w:rsidR="00B0111B">
              <w:rPr>
                <w:noProof/>
                <w:webHidden/>
              </w:rPr>
              <w:fldChar w:fldCharType="separate"/>
            </w:r>
            <w:r w:rsidR="00B32B5F">
              <w:rPr>
                <w:noProof/>
                <w:webHidden/>
              </w:rPr>
              <w:t>24</w:t>
            </w:r>
            <w:r w:rsidR="00B0111B">
              <w:rPr>
                <w:noProof/>
                <w:webHidden/>
              </w:rPr>
              <w:fldChar w:fldCharType="end"/>
            </w:r>
          </w:hyperlink>
        </w:p>
        <w:p w14:paraId="2600A164" w14:textId="0F19E5E7" w:rsidR="00B0111B" w:rsidRDefault="003F6170">
          <w:pPr>
            <w:pStyle w:val="TOC1"/>
            <w:tabs>
              <w:tab w:val="right" w:leader="dot" w:pos="9350"/>
            </w:tabs>
            <w:rPr>
              <w:rFonts w:asciiTheme="minorHAnsi" w:eastAsiaTheme="minorEastAsia" w:hAnsiTheme="minorHAnsi" w:cstheme="minorBidi"/>
              <w:b w:val="0"/>
              <w:bCs w:val="0"/>
              <w:caps w:val="0"/>
              <w:noProof/>
              <w:sz w:val="22"/>
              <w:szCs w:val="22"/>
            </w:rPr>
          </w:pPr>
          <w:hyperlink w:anchor="_Toc112161037" w:history="1">
            <w:r w:rsidR="00B0111B" w:rsidRPr="00E20831">
              <w:rPr>
                <w:rStyle w:val="Hyperlink"/>
                <w:rFonts w:ascii="Garamond" w:hAnsi="Garamond" w:cstheme="minorHAnsi"/>
                <w:noProof/>
              </w:rPr>
              <w:t>Appendix G: In-Network vs. Out-of-Network reporting</w:t>
            </w:r>
            <w:r w:rsidR="00B0111B">
              <w:rPr>
                <w:noProof/>
                <w:webHidden/>
              </w:rPr>
              <w:tab/>
            </w:r>
            <w:r w:rsidR="00B0111B">
              <w:rPr>
                <w:noProof/>
                <w:webHidden/>
              </w:rPr>
              <w:fldChar w:fldCharType="begin"/>
            </w:r>
            <w:r w:rsidR="00B0111B">
              <w:rPr>
                <w:noProof/>
                <w:webHidden/>
              </w:rPr>
              <w:instrText xml:space="preserve"> PAGEREF _Toc112161037 \h </w:instrText>
            </w:r>
            <w:r w:rsidR="00B0111B">
              <w:rPr>
                <w:noProof/>
                <w:webHidden/>
              </w:rPr>
            </w:r>
            <w:r w:rsidR="00B0111B">
              <w:rPr>
                <w:noProof/>
                <w:webHidden/>
              </w:rPr>
              <w:fldChar w:fldCharType="separate"/>
            </w:r>
            <w:r w:rsidR="00B32B5F">
              <w:rPr>
                <w:noProof/>
                <w:webHidden/>
              </w:rPr>
              <w:t>25</w:t>
            </w:r>
            <w:r w:rsidR="00B0111B">
              <w:rPr>
                <w:noProof/>
                <w:webHidden/>
              </w:rPr>
              <w:fldChar w:fldCharType="end"/>
            </w:r>
          </w:hyperlink>
        </w:p>
        <w:p w14:paraId="342323B8" w14:textId="013C496E" w:rsidR="00F36B5D" w:rsidRPr="00C661A9" w:rsidRDefault="00F36B5D">
          <w:r w:rsidRPr="00C661A9">
            <w:rPr>
              <w:bCs/>
              <w:noProof/>
            </w:rPr>
            <w:fldChar w:fldCharType="end"/>
          </w:r>
        </w:p>
        <w:p w14:paraId="431E21CF" w14:textId="77777777" w:rsidR="005F7408" w:rsidRDefault="003F6170" w:rsidP="007263F2">
          <w:pPr>
            <w:pStyle w:val="Default"/>
            <w:spacing w:line="276" w:lineRule="auto"/>
            <w:rPr>
              <w:rFonts w:ascii="Garamond" w:hAnsi="Garamond" w:cstheme="minorHAnsi"/>
              <w:sz w:val="22"/>
              <w:szCs w:val="22"/>
            </w:rPr>
          </w:pPr>
        </w:p>
      </w:sdtContent>
    </w:sdt>
    <w:p w14:paraId="7603E57A" w14:textId="77777777" w:rsidR="00A55866" w:rsidRDefault="001A0668" w:rsidP="007263F2">
      <w:pPr>
        <w:pStyle w:val="Default"/>
        <w:spacing w:line="276" w:lineRule="auto"/>
        <w:rPr>
          <w:rFonts w:ascii="Garamond" w:hAnsi="Garamond" w:cstheme="minorHAnsi"/>
          <w:sz w:val="22"/>
          <w:szCs w:val="22"/>
        </w:rPr>
      </w:pPr>
      <w:r w:rsidRPr="004A75E1">
        <w:rPr>
          <w:rFonts w:ascii="Garamond" w:hAnsi="Garamond" w:cstheme="minorHAnsi"/>
          <w:sz w:val="22"/>
          <w:szCs w:val="22"/>
        </w:rPr>
        <w:br/>
      </w:r>
      <w:r w:rsidRPr="004A75E1">
        <w:rPr>
          <w:rFonts w:ascii="Garamond" w:hAnsi="Garamond" w:cstheme="minorHAnsi"/>
          <w:sz w:val="22"/>
          <w:szCs w:val="22"/>
        </w:rPr>
        <w:br/>
      </w:r>
    </w:p>
    <w:p w14:paraId="0E876D03" w14:textId="77777777" w:rsidR="00A55866" w:rsidRDefault="00A55866" w:rsidP="007263F2">
      <w:pPr>
        <w:pStyle w:val="Default"/>
        <w:spacing w:line="276" w:lineRule="auto"/>
        <w:rPr>
          <w:rFonts w:ascii="Garamond" w:hAnsi="Garamond" w:cstheme="minorHAnsi"/>
          <w:sz w:val="22"/>
          <w:szCs w:val="22"/>
        </w:rPr>
      </w:pPr>
    </w:p>
    <w:p w14:paraId="7C6DD0F2" w14:textId="77777777" w:rsidR="00A55866" w:rsidRDefault="00A55866" w:rsidP="007263F2">
      <w:pPr>
        <w:pStyle w:val="Default"/>
        <w:spacing w:line="276" w:lineRule="auto"/>
        <w:rPr>
          <w:rFonts w:ascii="Garamond" w:hAnsi="Garamond" w:cstheme="minorHAnsi"/>
          <w:sz w:val="22"/>
          <w:szCs w:val="22"/>
        </w:rPr>
      </w:pPr>
    </w:p>
    <w:p w14:paraId="1BF5D159" w14:textId="77777777" w:rsidR="00A55866" w:rsidRDefault="00A55866" w:rsidP="007263F2">
      <w:pPr>
        <w:pStyle w:val="Default"/>
        <w:spacing w:line="276" w:lineRule="auto"/>
        <w:rPr>
          <w:rFonts w:ascii="Garamond" w:hAnsi="Garamond" w:cstheme="minorHAnsi"/>
          <w:sz w:val="22"/>
          <w:szCs w:val="22"/>
        </w:rPr>
      </w:pPr>
    </w:p>
    <w:p w14:paraId="406CF981" w14:textId="77777777" w:rsidR="00A55866" w:rsidRDefault="00A55866" w:rsidP="007263F2">
      <w:pPr>
        <w:pStyle w:val="Default"/>
        <w:spacing w:line="276" w:lineRule="auto"/>
        <w:rPr>
          <w:rFonts w:ascii="Garamond" w:hAnsi="Garamond" w:cstheme="minorHAnsi"/>
          <w:sz w:val="22"/>
          <w:szCs w:val="22"/>
        </w:rPr>
      </w:pPr>
    </w:p>
    <w:p w14:paraId="2FACB037" w14:textId="77777777" w:rsidR="00A55866" w:rsidRDefault="00A55866" w:rsidP="007263F2">
      <w:pPr>
        <w:pStyle w:val="Default"/>
        <w:spacing w:line="276" w:lineRule="auto"/>
        <w:rPr>
          <w:rFonts w:ascii="Garamond" w:hAnsi="Garamond" w:cstheme="minorHAnsi"/>
          <w:sz w:val="22"/>
          <w:szCs w:val="22"/>
        </w:rPr>
      </w:pPr>
    </w:p>
    <w:p w14:paraId="0EF10C78" w14:textId="77777777" w:rsidR="00A55866" w:rsidRDefault="00A55866" w:rsidP="007263F2">
      <w:pPr>
        <w:pStyle w:val="Default"/>
        <w:spacing w:line="276" w:lineRule="auto"/>
        <w:rPr>
          <w:rFonts w:ascii="Garamond" w:hAnsi="Garamond" w:cstheme="minorHAnsi"/>
          <w:sz w:val="22"/>
          <w:szCs w:val="22"/>
        </w:rPr>
      </w:pPr>
    </w:p>
    <w:p w14:paraId="50780CF1" w14:textId="77777777" w:rsidR="00A55866" w:rsidRDefault="00A55866" w:rsidP="007263F2">
      <w:pPr>
        <w:pStyle w:val="Default"/>
        <w:spacing w:line="276" w:lineRule="auto"/>
        <w:rPr>
          <w:rFonts w:ascii="Garamond" w:hAnsi="Garamond" w:cstheme="minorHAnsi"/>
          <w:sz w:val="22"/>
          <w:szCs w:val="22"/>
        </w:rPr>
      </w:pPr>
    </w:p>
    <w:p w14:paraId="28955FFB" w14:textId="77777777" w:rsidR="00A55866" w:rsidRDefault="00A55866" w:rsidP="007263F2">
      <w:pPr>
        <w:pStyle w:val="Default"/>
        <w:spacing w:line="276" w:lineRule="auto"/>
        <w:rPr>
          <w:rFonts w:ascii="Garamond" w:hAnsi="Garamond" w:cstheme="minorHAnsi"/>
          <w:sz w:val="22"/>
          <w:szCs w:val="22"/>
        </w:rPr>
      </w:pPr>
    </w:p>
    <w:p w14:paraId="058FDF47" w14:textId="77777777" w:rsidR="00A55866" w:rsidRDefault="00A55866" w:rsidP="007263F2">
      <w:pPr>
        <w:pStyle w:val="Default"/>
        <w:spacing w:line="276" w:lineRule="auto"/>
        <w:rPr>
          <w:rFonts w:ascii="Garamond" w:hAnsi="Garamond" w:cstheme="minorHAnsi"/>
          <w:sz w:val="22"/>
          <w:szCs w:val="22"/>
        </w:rPr>
      </w:pPr>
    </w:p>
    <w:p w14:paraId="7B755804" w14:textId="77777777" w:rsidR="00A55866" w:rsidRDefault="00A55866" w:rsidP="007263F2">
      <w:pPr>
        <w:pStyle w:val="Default"/>
        <w:spacing w:line="276" w:lineRule="auto"/>
        <w:rPr>
          <w:rFonts w:ascii="Garamond" w:hAnsi="Garamond" w:cstheme="minorHAnsi"/>
          <w:sz w:val="22"/>
          <w:szCs w:val="22"/>
        </w:rPr>
      </w:pPr>
    </w:p>
    <w:p w14:paraId="5FBE9E9E" w14:textId="77777777" w:rsidR="00A55866" w:rsidRDefault="00A55866" w:rsidP="007263F2">
      <w:pPr>
        <w:pStyle w:val="Default"/>
        <w:spacing w:line="276" w:lineRule="auto"/>
        <w:rPr>
          <w:rFonts w:ascii="Garamond" w:hAnsi="Garamond" w:cstheme="minorHAnsi"/>
          <w:sz w:val="22"/>
          <w:szCs w:val="22"/>
        </w:rPr>
      </w:pPr>
    </w:p>
    <w:p w14:paraId="2ED7F555" w14:textId="77777777" w:rsidR="00A55866" w:rsidRDefault="00A55866" w:rsidP="007263F2">
      <w:pPr>
        <w:pStyle w:val="Default"/>
        <w:spacing w:line="276" w:lineRule="auto"/>
        <w:rPr>
          <w:rFonts w:ascii="Garamond" w:hAnsi="Garamond" w:cstheme="minorHAnsi"/>
          <w:sz w:val="22"/>
          <w:szCs w:val="22"/>
        </w:rPr>
      </w:pPr>
    </w:p>
    <w:p w14:paraId="2DEB80DE" w14:textId="77777777" w:rsidR="005F7408" w:rsidRDefault="005F7408" w:rsidP="007263F2">
      <w:pPr>
        <w:pStyle w:val="Default"/>
        <w:spacing w:line="276" w:lineRule="auto"/>
        <w:rPr>
          <w:rFonts w:ascii="Garamond" w:hAnsi="Garamond" w:cstheme="minorHAnsi"/>
          <w:sz w:val="22"/>
          <w:szCs w:val="22"/>
        </w:rPr>
      </w:pPr>
    </w:p>
    <w:p w14:paraId="3EBB86F6" w14:textId="77777777" w:rsidR="005F7408" w:rsidRDefault="005F7408" w:rsidP="007263F2">
      <w:pPr>
        <w:pStyle w:val="Default"/>
        <w:spacing w:line="276" w:lineRule="auto"/>
        <w:rPr>
          <w:rFonts w:ascii="Garamond" w:hAnsi="Garamond" w:cstheme="minorHAnsi"/>
          <w:sz w:val="22"/>
          <w:szCs w:val="22"/>
        </w:rPr>
      </w:pPr>
    </w:p>
    <w:p w14:paraId="3B355BB1" w14:textId="77777777" w:rsidR="005F7408" w:rsidRDefault="005F7408" w:rsidP="007263F2">
      <w:pPr>
        <w:pStyle w:val="Default"/>
        <w:spacing w:line="276" w:lineRule="auto"/>
        <w:rPr>
          <w:rFonts w:ascii="Garamond" w:hAnsi="Garamond" w:cstheme="minorHAnsi"/>
          <w:sz w:val="22"/>
          <w:szCs w:val="22"/>
        </w:rPr>
      </w:pPr>
    </w:p>
    <w:p w14:paraId="090B645B" w14:textId="77777777" w:rsidR="00A55866" w:rsidRDefault="00A55866" w:rsidP="007263F2">
      <w:pPr>
        <w:pStyle w:val="Default"/>
        <w:spacing w:line="276" w:lineRule="auto"/>
        <w:rPr>
          <w:rFonts w:ascii="Garamond" w:hAnsi="Garamond" w:cstheme="minorHAnsi"/>
          <w:sz w:val="22"/>
          <w:szCs w:val="22"/>
        </w:rPr>
      </w:pPr>
    </w:p>
    <w:p w14:paraId="15159C60" w14:textId="77777777" w:rsidR="00A55866" w:rsidRDefault="00A55866" w:rsidP="007263F2">
      <w:pPr>
        <w:pStyle w:val="Default"/>
        <w:spacing w:line="276" w:lineRule="auto"/>
        <w:rPr>
          <w:rFonts w:ascii="Garamond" w:hAnsi="Garamond" w:cstheme="minorHAnsi"/>
          <w:sz w:val="22"/>
          <w:szCs w:val="22"/>
        </w:rPr>
      </w:pPr>
    </w:p>
    <w:p w14:paraId="791CD3E1" w14:textId="77777777" w:rsidR="000F7846" w:rsidRDefault="000F7846" w:rsidP="007263F2">
      <w:pPr>
        <w:pStyle w:val="Default"/>
        <w:spacing w:line="276" w:lineRule="auto"/>
        <w:rPr>
          <w:rFonts w:ascii="Garamond" w:hAnsi="Garamond" w:cstheme="minorHAnsi"/>
          <w:sz w:val="22"/>
          <w:szCs w:val="22"/>
        </w:rPr>
      </w:pPr>
    </w:p>
    <w:p w14:paraId="1782A6CF" w14:textId="447FA2AF" w:rsidR="000F7846" w:rsidRDefault="000F7846" w:rsidP="007263F2">
      <w:pPr>
        <w:pStyle w:val="Default"/>
        <w:spacing w:line="276" w:lineRule="auto"/>
        <w:rPr>
          <w:rFonts w:ascii="Garamond" w:hAnsi="Garamond" w:cstheme="minorHAnsi"/>
          <w:sz w:val="22"/>
          <w:szCs w:val="22"/>
        </w:rPr>
      </w:pPr>
    </w:p>
    <w:p w14:paraId="2BDFBADC" w14:textId="2C176517" w:rsidR="52DCE06A" w:rsidRDefault="005F7408" w:rsidP="09E1B708">
      <w:pPr>
        <w:pStyle w:val="Default"/>
        <w:spacing w:line="276" w:lineRule="auto"/>
        <w:contextualSpacing/>
        <w:outlineLvl w:val="0"/>
        <w:rPr>
          <w:rFonts w:ascii="Garamond" w:hAnsi="Garamond" w:cstheme="minorBidi"/>
          <w:b/>
          <w:bCs/>
          <w:sz w:val="22"/>
          <w:szCs w:val="22"/>
        </w:rPr>
      </w:pPr>
      <w:bookmarkStart w:id="0" w:name="_Toc112161024"/>
      <w:r w:rsidRPr="09E1B708">
        <w:rPr>
          <w:rFonts w:ascii="Garamond" w:hAnsi="Garamond" w:cstheme="minorBidi"/>
          <w:b/>
          <w:bCs/>
          <w:sz w:val="22"/>
          <w:szCs w:val="22"/>
        </w:rPr>
        <w:t>1.</w:t>
      </w:r>
      <w:r w:rsidR="52DCE06A">
        <w:tab/>
      </w:r>
      <w:r w:rsidR="001E3731" w:rsidRPr="09E1B708">
        <w:rPr>
          <w:rFonts w:ascii="Garamond" w:hAnsi="Garamond" w:cstheme="minorBidi"/>
          <w:b/>
          <w:bCs/>
          <w:sz w:val="22"/>
          <w:szCs w:val="22"/>
        </w:rPr>
        <w:t>Summary of Change</w:t>
      </w:r>
      <w:r w:rsidR="1B906F10" w:rsidRPr="09E1B708">
        <w:rPr>
          <w:rFonts w:ascii="Garamond" w:hAnsi="Garamond" w:cstheme="minorBidi"/>
          <w:b/>
          <w:bCs/>
          <w:sz w:val="22"/>
          <w:szCs w:val="22"/>
        </w:rPr>
        <w:t>s</w:t>
      </w:r>
      <w:bookmarkEnd w:id="0"/>
    </w:p>
    <w:p w14:paraId="3800EB76" w14:textId="20DBE27E" w:rsidR="52DCE06A" w:rsidRDefault="3E444B99" w:rsidP="09E1B708">
      <w:pPr>
        <w:pStyle w:val="ListParagraph"/>
        <w:numPr>
          <w:ilvl w:val="0"/>
          <w:numId w:val="9"/>
        </w:numPr>
        <w:spacing w:line="276" w:lineRule="auto"/>
        <w:contextualSpacing/>
        <w:rPr>
          <w:rFonts w:ascii="Garamond" w:hAnsi="Garamond" w:cstheme="minorBidi"/>
          <w:sz w:val="22"/>
          <w:szCs w:val="22"/>
        </w:rPr>
      </w:pPr>
      <w:r w:rsidRPr="09E1B708">
        <w:rPr>
          <w:rFonts w:ascii="Garamond" w:hAnsi="Garamond" w:cstheme="minorBidi"/>
          <w:sz w:val="22"/>
          <w:szCs w:val="22"/>
        </w:rPr>
        <w:t xml:space="preserve">In the hospital filing, for service fields that had no claims spending in the reporting year, multipliers are </w:t>
      </w:r>
      <w:r w:rsidR="07CE22E0" w:rsidRPr="09E1B708">
        <w:rPr>
          <w:rFonts w:ascii="Garamond" w:hAnsi="Garamond" w:cstheme="minorBidi"/>
          <w:sz w:val="22"/>
          <w:szCs w:val="22"/>
        </w:rPr>
        <w:t xml:space="preserve">not required to be reported. </w:t>
      </w:r>
      <w:r w:rsidR="3CDE33D0" w:rsidRPr="09E1B708">
        <w:rPr>
          <w:rFonts w:ascii="Garamond" w:hAnsi="Garamond" w:cstheme="minorBidi"/>
          <w:sz w:val="22"/>
          <w:szCs w:val="22"/>
        </w:rPr>
        <w:t>.</w:t>
      </w:r>
    </w:p>
    <w:p w14:paraId="1BCEBE46" w14:textId="502E2821" w:rsidR="58302631" w:rsidRDefault="27D45494" w:rsidP="09E1B708">
      <w:pPr>
        <w:pStyle w:val="ListParagraph"/>
        <w:numPr>
          <w:ilvl w:val="0"/>
          <w:numId w:val="9"/>
        </w:numPr>
        <w:spacing w:line="276" w:lineRule="auto"/>
        <w:contextualSpacing/>
        <w:rPr>
          <w:rFonts w:ascii="Garamond" w:hAnsi="Garamond" w:cstheme="minorBidi"/>
          <w:sz w:val="22"/>
          <w:szCs w:val="22"/>
        </w:rPr>
      </w:pPr>
      <w:r w:rsidRPr="09E1B708">
        <w:rPr>
          <w:rFonts w:ascii="Garamond" w:hAnsi="Garamond" w:cstheme="minorBidi"/>
          <w:sz w:val="22"/>
          <w:szCs w:val="22"/>
        </w:rPr>
        <w:t>For the p</w:t>
      </w:r>
      <w:r w:rsidR="6A4DAD2D" w:rsidRPr="09E1B708">
        <w:rPr>
          <w:rFonts w:ascii="Garamond" w:hAnsi="Garamond" w:cstheme="minorBidi"/>
          <w:sz w:val="22"/>
          <w:szCs w:val="22"/>
        </w:rPr>
        <w:t xml:space="preserve">hysician group </w:t>
      </w:r>
      <w:r w:rsidR="3B5AA078" w:rsidRPr="09E1B708">
        <w:rPr>
          <w:rFonts w:ascii="Garamond" w:hAnsi="Garamond" w:cstheme="minorBidi"/>
          <w:sz w:val="22"/>
          <w:szCs w:val="22"/>
        </w:rPr>
        <w:t>filing, the</w:t>
      </w:r>
      <w:r w:rsidR="0EBDEA87" w:rsidRPr="09E1B708">
        <w:rPr>
          <w:rFonts w:ascii="Garamond" w:hAnsi="Garamond" w:cstheme="minorBidi"/>
          <w:sz w:val="22"/>
          <w:szCs w:val="22"/>
        </w:rPr>
        <w:t xml:space="preserve"> </w:t>
      </w:r>
      <w:r w:rsidR="030F63C8" w:rsidRPr="09E1B708">
        <w:rPr>
          <w:rFonts w:ascii="Garamond" w:hAnsi="Garamond" w:cstheme="minorBidi"/>
          <w:sz w:val="22"/>
          <w:szCs w:val="22"/>
        </w:rPr>
        <w:t>uniform provider</w:t>
      </w:r>
      <w:r w:rsidR="0EBDEA87" w:rsidRPr="09E1B708">
        <w:rPr>
          <w:rFonts w:ascii="Garamond" w:hAnsi="Garamond" w:cstheme="minorBidi"/>
          <w:sz w:val="22"/>
          <w:szCs w:val="22"/>
        </w:rPr>
        <w:t xml:space="preserve"> list</w:t>
      </w:r>
      <w:r w:rsidR="190369EB" w:rsidRPr="09E1B708">
        <w:rPr>
          <w:rFonts w:ascii="Garamond" w:hAnsi="Garamond" w:cstheme="minorBidi"/>
          <w:sz w:val="22"/>
          <w:szCs w:val="22"/>
        </w:rPr>
        <w:t xml:space="preserve"> </w:t>
      </w:r>
      <w:r w:rsidR="0EBDEA87" w:rsidRPr="09E1B708">
        <w:rPr>
          <w:rFonts w:ascii="Garamond" w:hAnsi="Garamond" w:cstheme="minorBidi"/>
          <w:sz w:val="22"/>
          <w:szCs w:val="22"/>
        </w:rPr>
        <w:t xml:space="preserve">has been </w:t>
      </w:r>
      <w:r w:rsidR="2E430535" w:rsidRPr="09E1B708">
        <w:rPr>
          <w:rFonts w:ascii="Garamond" w:hAnsi="Garamond" w:cstheme="minorBidi"/>
          <w:sz w:val="22"/>
          <w:szCs w:val="22"/>
        </w:rPr>
        <w:t xml:space="preserve">updated </w:t>
      </w:r>
      <w:r w:rsidR="0EBDEA87" w:rsidRPr="09E1B708">
        <w:rPr>
          <w:rFonts w:ascii="Garamond" w:hAnsi="Garamond" w:cstheme="minorBidi"/>
          <w:sz w:val="22"/>
          <w:szCs w:val="22"/>
        </w:rPr>
        <w:t xml:space="preserve">for this year's data collection. </w:t>
      </w:r>
    </w:p>
    <w:p w14:paraId="12561D14" w14:textId="06BB8ECD" w:rsidR="58302631" w:rsidRDefault="5316EBD2" w:rsidP="09E1B708">
      <w:pPr>
        <w:pStyle w:val="ListParagraph"/>
        <w:numPr>
          <w:ilvl w:val="0"/>
          <w:numId w:val="9"/>
        </w:numPr>
        <w:spacing w:line="276" w:lineRule="auto"/>
        <w:contextualSpacing/>
        <w:rPr>
          <w:rFonts w:ascii="Garamond" w:hAnsi="Garamond" w:cstheme="minorBidi"/>
          <w:sz w:val="22"/>
          <w:szCs w:val="22"/>
        </w:rPr>
      </w:pPr>
      <w:r w:rsidRPr="09E1B708">
        <w:rPr>
          <w:rFonts w:ascii="Garamond" w:hAnsi="Garamond" w:cstheme="minorBidi"/>
          <w:sz w:val="22"/>
          <w:szCs w:val="22"/>
        </w:rPr>
        <w:t xml:space="preserve">There are new specifications for submissions of data for the physician group filing this year. Payers are to report as individual entities </w:t>
      </w:r>
      <w:r w:rsidRPr="09E1B708">
        <w:rPr>
          <w:rFonts w:ascii="Garamond" w:hAnsi="Garamond" w:cstheme="minorBidi"/>
          <w:b/>
          <w:bCs/>
          <w:sz w:val="22"/>
          <w:szCs w:val="22"/>
        </w:rPr>
        <w:t>only</w:t>
      </w:r>
      <w:r w:rsidRPr="09E1B708">
        <w:rPr>
          <w:rFonts w:ascii="Garamond" w:hAnsi="Garamond" w:cstheme="minorBidi"/>
          <w:sz w:val="22"/>
          <w:szCs w:val="22"/>
        </w:rPr>
        <w:t xml:space="preserve"> those provider groups who:</w:t>
      </w:r>
    </w:p>
    <w:p w14:paraId="7FD05540" w14:textId="21D00FF9" w:rsidR="58302631" w:rsidRDefault="5316EBD2" w:rsidP="09E1B708">
      <w:pPr>
        <w:pStyle w:val="Default"/>
        <w:numPr>
          <w:ilvl w:val="1"/>
          <w:numId w:val="9"/>
        </w:numPr>
        <w:spacing w:line="276" w:lineRule="auto"/>
        <w:contextualSpacing/>
        <w:rPr>
          <w:rFonts w:ascii="Garamond" w:hAnsi="Garamond" w:cstheme="minorBidi"/>
          <w:sz w:val="22"/>
          <w:szCs w:val="22"/>
        </w:rPr>
      </w:pPr>
      <w:r w:rsidRPr="09E1B708">
        <w:rPr>
          <w:rFonts w:ascii="Garamond" w:hAnsi="Garamond" w:cstheme="minorBidi"/>
          <w:sz w:val="22"/>
          <w:szCs w:val="22"/>
        </w:rPr>
        <w:t xml:space="preserve">Had total payments in the calendar year </w:t>
      </w:r>
      <w:r w:rsidR="2C718EFD" w:rsidRPr="09E1B708">
        <w:rPr>
          <w:rFonts w:ascii="Garamond" w:hAnsi="Garamond" w:cstheme="minorBidi"/>
          <w:sz w:val="22"/>
          <w:szCs w:val="22"/>
        </w:rPr>
        <w:t xml:space="preserve">that </w:t>
      </w:r>
      <w:r w:rsidRPr="09E1B708">
        <w:rPr>
          <w:rFonts w:ascii="Garamond" w:hAnsi="Garamond" w:cstheme="minorBidi"/>
          <w:sz w:val="22"/>
          <w:szCs w:val="22"/>
        </w:rPr>
        <w:t>exceeded $20,000 in the calendar year</w:t>
      </w:r>
      <w:r w:rsidR="3A93DF03" w:rsidRPr="09E1B708">
        <w:rPr>
          <w:rFonts w:ascii="Garamond" w:hAnsi="Garamond" w:cstheme="minorBidi"/>
          <w:sz w:val="22"/>
          <w:szCs w:val="22"/>
        </w:rPr>
        <w:t xml:space="preserve"> </w:t>
      </w:r>
      <w:r w:rsidR="3A93DF03" w:rsidRPr="09E1B708">
        <w:rPr>
          <w:rFonts w:ascii="Garamond" w:hAnsi="Garamond" w:cstheme="minorBidi"/>
          <w:b/>
          <w:bCs/>
          <w:sz w:val="22"/>
          <w:szCs w:val="22"/>
        </w:rPr>
        <w:t>and</w:t>
      </w:r>
      <w:r w:rsidR="3A93DF03" w:rsidRPr="09E1B708">
        <w:rPr>
          <w:rFonts w:ascii="Garamond" w:hAnsi="Garamond" w:cstheme="minorBidi"/>
          <w:sz w:val="22"/>
          <w:szCs w:val="22"/>
        </w:rPr>
        <w:t xml:space="preserve"> are included on the uniform provider list</w:t>
      </w:r>
      <w:r w:rsidRPr="09E1B708">
        <w:rPr>
          <w:rFonts w:ascii="Garamond" w:hAnsi="Garamond" w:cstheme="minorBidi"/>
          <w:sz w:val="22"/>
          <w:szCs w:val="22"/>
        </w:rPr>
        <w:t xml:space="preserve">. </w:t>
      </w:r>
    </w:p>
    <w:p w14:paraId="4162CB75" w14:textId="3846E2D2" w:rsidR="58302631" w:rsidRDefault="26126ADD" w:rsidP="09E1B708">
      <w:pPr>
        <w:pStyle w:val="Default"/>
        <w:numPr>
          <w:ilvl w:val="1"/>
          <w:numId w:val="9"/>
        </w:numPr>
        <w:spacing w:line="276" w:lineRule="auto"/>
        <w:contextualSpacing/>
        <w:rPr>
          <w:rFonts w:ascii="Garamond" w:hAnsi="Garamond" w:cstheme="minorBidi"/>
          <w:sz w:val="22"/>
          <w:szCs w:val="22"/>
        </w:rPr>
      </w:pPr>
      <w:r w:rsidRPr="09E1B708">
        <w:rPr>
          <w:rFonts w:ascii="Garamond" w:hAnsi="Garamond" w:cstheme="minorBidi"/>
          <w:sz w:val="22"/>
          <w:szCs w:val="22"/>
        </w:rPr>
        <w:t xml:space="preserve">If not on the uniform provider list </w:t>
      </w:r>
      <w:r w:rsidRPr="09E1B708">
        <w:rPr>
          <w:rFonts w:ascii="Garamond" w:hAnsi="Garamond" w:cstheme="minorBidi"/>
          <w:b/>
          <w:bCs/>
          <w:sz w:val="22"/>
          <w:szCs w:val="22"/>
        </w:rPr>
        <w:t xml:space="preserve">and </w:t>
      </w:r>
      <w:r w:rsidRPr="09E1B708">
        <w:rPr>
          <w:rFonts w:ascii="Garamond" w:hAnsi="Garamond" w:cstheme="minorBidi"/>
          <w:sz w:val="22"/>
          <w:szCs w:val="22"/>
        </w:rPr>
        <w:t xml:space="preserve">has total payments in the calendar year exceeding $20,000, are in the top 10 highest claims payments at the insurance category level. </w:t>
      </w:r>
      <w:r w:rsidR="7F18BC6E" w:rsidRPr="09E1B708">
        <w:rPr>
          <w:rFonts w:ascii="Garamond" w:hAnsi="Garamond" w:cstheme="minorBidi"/>
          <w:sz w:val="22"/>
          <w:szCs w:val="22"/>
        </w:rPr>
        <w:t>If this is the case, the payer should contact CHIA for the provider Org ID</w:t>
      </w:r>
    </w:p>
    <w:p w14:paraId="5AF3C8D1" w14:textId="66A7AF3D" w:rsidR="0016504A" w:rsidRDefault="5316EBD2" w:rsidP="09E1B708">
      <w:pPr>
        <w:pStyle w:val="Default"/>
        <w:spacing w:line="276" w:lineRule="auto"/>
        <w:ind w:left="720"/>
        <w:contextualSpacing/>
        <w:rPr>
          <w:rFonts w:ascii="Garamond" w:hAnsi="Garamond" w:cstheme="minorBidi"/>
          <w:sz w:val="22"/>
          <w:szCs w:val="22"/>
        </w:rPr>
      </w:pPr>
      <w:r w:rsidRPr="09E1B708">
        <w:rPr>
          <w:rFonts w:ascii="Garamond" w:hAnsi="Garamond" w:cstheme="minorBidi"/>
          <w:sz w:val="22"/>
          <w:szCs w:val="22"/>
        </w:rPr>
        <w:t>Data for all provider groups whose payments do not exceed $20,000 nor are included in the uniform provider list and are outside of the top 10 highest claims payments at the insurance category level  shall be reported in the appropriate aggregate OrgID (999998 for aggregate physicians not paid on a fee schedule, or 999999 for aggregate physicians paid on a fee schedule).</w:t>
      </w:r>
    </w:p>
    <w:p w14:paraId="6649CB30" w14:textId="46177674" w:rsidR="00D94268" w:rsidRDefault="00D94268" w:rsidP="005F7408">
      <w:pPr>
        <w:spacing w:line="276" w:lineRule="auto"/>
        <w:contextualSpacing/>
        <w:rPr>
          <w:rFonts w:ascii="Garamond" w:hAnsi="Garamond" w:cstheme="minorHAnsi"/>
          <w:sz w:val="22"/>
          <w:szCs w:val="22"/>
        </w:rPr>
      </w:pPr>
    </w:p>
    <w:p w14:paraId="7E4DCBBD" w14:textId="77777777" w:rsidR="0002389B" w:rsidRPr="0068059C" w:rsidRDefault="005F7408" w:rsidP="005F7408">
      <w:pPr>
        <w:pStyle w:val="Default"/>
        <w:outlineLvl w:val="0"/>
        <w:rPr>
          <w:rFonts w:ascii="Garamond" w:hAnsi="Garamond" w:cstheme="minorHAnsi"/>
          <w:sz w:val="22"/>
          <w:szCs w:val="22"/>
        </w:rPr>
      </w:pPr>
      <w:bookmarkStart w:id="1" w:name="_Toc112161025"/>
      <w:r>
        <w:rPr>
          <w:rFonts w:ascii="Garamond" w:hAnsi="Garamond" w:cstheme="minorHAnsi"/>
          <w:b/>
          <w:sz w:val="22"/>
          <w:szCs w:val="22"/>
        </w:rPr>
        <w:t>2.</w:t>
      </w:r>
      <w:r>
        <w:rPr>
          <w:rFonts w:ascii="Garamond" w:hAnsi="Garamond" w:cstheme="minorHAnsi"/>
          <w:b/>
          <w:sz w:val="22"/>
          <w:szCs w:val="22"/>
        </w:rPr>
        <w:tab/>
      </w:r>
      <w:r w:rsidR="002F3428" w:rsidRPr="0068059C">
        <w:rPr>
          <w:rFonts w:ascii="Garamond" w:hAnsi="Garamond" w:cstheme="minorHAnsi"/>
          <w:b/>
          <w:sz w:val="22"/>
          <w:szCs w:val="22"/>
        </w:rPr>
        <w:t>Introduction</w:t>
      </w:r>
      <w:bookmarkEnd w:id="1"/>
    </w:p>
    <w:p w14:paraId="098E092D" w14:textId="77777777" w:rsidR="002F3428" w:rsidRPr="005C78DA" w:rsidRDefault="002F3428" w:rsidP="002F3428">
      <w:pPr>
        <w:pStyle w:val="Default"/>
        <w:ind w:left="360"/>
        <w:rPr>
          <w:rFonts w:ascii="Garamond" w:hAnsi="Garamond" w:cstheme="minorHAnsi"/>
          <w:sz w:val="22"/>
          <w:szCs w:val="22"/>
        </w:rPr>
      </w:pPr>
    </w:p>
    <w:p w14:paraId="2902AC09" w14:textId="7D936490" w:rsidR="002F3428" w:rsidRPr="005C78DA" w:rsidRDefault="00155390" w:rsidP="00D94268">
      <w:pPr>
        <w:spacing w:line="276" w:lineRule="auto"/>
        <w:rPr>
          <w:rFonts w:ascii="Garamond" w:hAnsi="Garamond" w:cstheme="minorHAnsi"/>
          <w:sz w:val="22"/>
          <w:szCs w:val="22"/>
        </w:rPr>
      </w:pPr>
      <w:r w:rsidRPr="005C78DA">
        <w:rPr>
          <w:rFonts w:ascii="Garamond" w:hAnsi="Garamond" w:cstheme="minorHAnsi"/>
          <w:sz w:val="22"/>
          <w:szCs w:val="22"/>
        </w:rPr>
        <w:t xml:space="preserve">M.G.L. c. 12C, § 8 </w:t>
      </w:r>
      <w:r w:rsidR="002F3428" w:rsidRPr="005C78DA">
        <w:rPr>
          <w:rFonts w:ascii="Garamond" w:hAnsi="Garamond" w:cstheme="minorHAnsi"/>
          <w:sz w:val="22"/>
          <w:szCs w:val="22"/>
        </w:rPr>
        <w:t xml:space="preserve">requires the </w:t>
      </w:r>
      <w:r w:rsidR="00B37DAA" w:rsidRPr="005C78DA">
        <w:rPr>
          <w:rFonts w:ascii="Garamond" w:hAnsi="Garamond" w:cstheme="minorHAnsi"/>
          <w:sz w:val="22"/>
          <w:szCs w:val="22"/>
        </w:rPr>
        <w:t>Center</w:t>
      </w:r>
      <w:r w:rsidR="002F3428" w:rsidRPr="005C78DA">
        <w:rPr>
          <w:rFonts w:ascii="Garamond" w:hAnsi="Garamond" w:cstheme="minorHAnsi"/>
          <w:sz w:val="22"/>
          <w:szCs w:val="22"/>
        </w:rPr>
        <w:t xml:space="preserve"> </w:t>
      </w:r>
      <w:r w:rsidR="00B37DAA" w:rsidRPr="005C78DA">
        <w:rPr>
          <w:rFonts w:ascii="Garamond" w:hAnsi="Garamond" w:cstheme="minorHAnsi"/>
          <w:sz w:val="22"/>
          <w:szCs w:val="22"/>
        </w:rPr>
        <w:t>for Health Information and Analysis (</w:t>
      </w:r>
      <w:r w:rsidR="001D16A5" w:rsidRPr="005C78DA">
        <w:rPr>
          <w:rFonts w:ascii="Garamond" w:hAnsi="Garamond" w:cstheme="minorHAnsi"/>
          <w:sz w:val="22"/>
          <w:szCs w:val="22"/>
        </w:rPr>
        <w:t>CHIA</w:t>
      </w:r>
      <w:r w:rsidR="002F3428" w:rsidRPr="005C78DA">
        <w:rPr>
          <w:rFonts w:ascii="Garamond" w:hAnsi="Garamond" w:cstheme="minorHAnsi"/>
          <w:sz w:val="22"/>
          <w:szCs w:val="22"/>
        </w:rPr>
        <w:t xml:space="preserve">) to </w:t>
      </w:r>
      <w:r w:rsidR="00B37DAA" w:rsidRPr="005C78DA">
        <w:rPr>
          <w:rFonts w:ascii="Garamond" w:hAnsi="Garamond" w:cstheme="minorHAnsi"/>
          <w:sz w:val="22"/>
          <w:szCs w:val="22"/>
        </w:rPr>
        <w:t xml:space="preserve">“publicly report relative prices, as newly defined in Section 1 as contractually negotiated amounts paid to providers by each private and public carrier for health care services, including non-claims related payments and expressed in the aggregate relative to the payer’s network-wide average amount paid to providers.” </w:t>
      </w:r>
    </w:p>
    <w:p w14:paraId="668EA0F2" w14:textId="77777777" w:rsidR="002F3428" w:rsidRPr="005C78DA" w:rsidRDefault="002F3428" w:rsidP="00D94268">
      <w:pPr>
        <w:spacing w:line="276" w:lineRule="auto"/>
        <w:ind w:left="720"/>
        <w:rPr>
          <w:rFonts w:ascii="Garamond" w:hAnsi="Garamond" w:cstheme="minorHAnsi"/>
          <w:sz w:val="22"/>
          <w:szCs w:val="22"/>
        </w:rPr>
      </w:pPr>
    </w:p>
    <w:p w14:paraId="08C14F4A" w14:textId="77777777" w:rsidR="002F3428" w:rsidRPr="005C78DA" w:rsidRDefault="002F3428"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Regulation </w:t>
      </w:r>
      <w:r w:rsidR="00B37DAA" w:rsidRPr="005C78DA">
        <w:rPr>
          <w:rFonts w:ascii="Garamond" w:hAnsi="Garamond" w:cstheme="minorHAnsi"/>
          <w:sz w:val="22"/>
          <w:szCs w:val="22"/>
        </w:rPr>
        <w:t>957</w:t>
      </w:r>
      <w:r w:rsidRPr="005C78DA">
        <w:rPr>
          <w:rFonts w:ascii="Garamond" w:hAnsi="Garamond" w:cstheme="minorHAnsi"/>
          <w:sz w:val="22"/>
          <w:szCs w:val="22"/>
        </w:rPr>
        <w:t xml:space="preserve"> CMR 2.00 governs the methodology and filing requirements for health care payers to calculate and report </w:t>
      </w:r>
      <w:r w:rsidR="00DC3D0B">
        <w:rPr>
          <w:rFonts w:ascii="Garamond" w:hAnsi="Garamond" w:cstheme="minorHAnsi"/>
          <w:sz w:val="22"/>
          <w:szCs w:val="22"/>
        </w:rPr>
        <w:t>these</w:t>
      </w:r>
      <w:r w:rsidR="00DC3D0B" w:rsidRPr="005C78DA">
        <w:rPr>
          <w:rFonts w:ascii="Garamond" w:hAnsi="Garamond" w:cstheme="minorHAnsi"/>
          <w:sz w:val="22"/>
          <w:szCs w:val="22"/>
        </w:rPr>
        <w:t xml:space="preserve"> </w:t>
      </w:r>
      <w:r w:rsidRPr="005C78DA">
        <w:rPr>
          <w:rFonts w:ascii="Garamond" w:hAnsi="Garamond" w:cstheme="minorHAnsi"/>
          <w:sz w:val="22"/>
          <w:szCs w:val="22"/>
        </w:rPr>
        <w:t xml:space="preserve">data to </w:t>
      </w:r>
      <w:r w:rsidR="001D16A5" w:rsidRPr="005C78DA">
        <w:rPr>
          <w:rFonts w:ascii="Garamond" w:hAnsi="Garamond" w:cstheme="minorHAnsi"/>
          <w:sz w:val="22"/>
          <w:szCs w:val="22"/>
        </w:rPr>
        <w:t>CHIA</w:t>
      </w:r>
      <w:r w:rsidRPr="005C78DA">
        <w:rPr>
          <w:rFonts w:ascii="Garamond" w:hAnsi="Garamond" w:cstheme="minorHAnsi"/>
          <w:sz w:val="22"/>
          <w:szCs w:val="22"/>
        </w:rPr>
        <w:t>.</w:t>
      </w:r>
      <w:r w:rsidR="00AB7EBF">
        <w:rPr>
          <w:rFonts w:ascii="Garamond" w:hAnsi="Garamond" w:cstheme="minorHAnsi"/>
          <w:sz w:val="22"/>
          <w:szCs w:val="22"/>
        </w:rPr>
        <w:t xml:space="preserve"> </w:t>
      </w:r>
      <w:r w:rsidRPr="005C78DA">
        <w:rPr>
          <w:rFonts w:ascii="Garamond" w:hAnsi="Garamond" w:cstheme="minorHAnsi"/>
          <w:sz w:val="22"/>
          <w:szCs w:val="22"/>
        </w:rPr>
        <w:t xml:space="preserve">The Data Specification Manual provides additional technical details to assist payers in reporting and filing </w:t>
      </w:r>
      <w:r w:rsidR="00DC3D0B">
        <w:rPr>
          <w:rFonts w:ascii="Garamond" w:hAnsi="Garamond" w:cstheme="minorHAnsi"/>
          <w:sz w:val="22"/>
          <w:szCs w:val="22"/>
        </w:rPr>
        <w:t>these</w:t>
      </w:r>
      <w:r w:rsidRPr="005C78DA">
        <w:rPr>
          <w:rFonts w:ascii="Garamond" w:hAnsi="Garamond" w:cstheme="minorHAnsi"/>
          <w:sz w:val="22"/>
          <w:szCs w:val="22"/>
        </w:rPr>
        <w:t xml:space="preserve"> data.</w:t>
      </w:r>
      <w:r w:rsidR="00AB7EBF">
        <w:rPr>
          <w:rFonts w:ascii="Garamond" w:hAnsi="Garamond" w:cstheme="minorHAnsi"/>
          <w:sz w:val="22"/>
          <w:szCs w:val="22"/>
        </w:rPr>
        <w:t xml:space="preserve"> </w:t>
      </w:r>
    </w:p>
    <w:p w14:paraId="7B0B8885" w14:textId="77777777" w:rsidR="00695E2F" w:rsidRPr="005C78DA" w:rsidRDefault="00695E2F" w:rsidP="00D94268">
      <w:pPr>
        <w:pStyle w:val="Default"/>
        <w:spacing w:line="276" w:lineRule="auto"/>
        <w:rPr>
          <w:rFonts w:ascii="Garamond" w:hAnsi="Garamond" w:cstheme="minorHAnsi"/>
          <w:sz w:val="22"/>
          <w:szCs w:val="22"/>
        </w:rPr>
      </w:pPr>
    </w:p>
    <w:p w14:paraId="4E9AAAD4" w14:textId="09850F4C" w:rsidR="001208FC" w:rsidRDefault="001208FC" w:rsidP="00D94268">
      <w:pPr>
        <w:pStyle w:val="Default"/>
        <w:spacing w:line="276" w:lineRule="auto"/>
        <w:rPr>
          <w:rFonts w:ascii="Garamond" w:hAnsi="Garamond" w:cstheme="minorHAnsi"/>
          <w:sz w:val="22"/>
          <w:szCs w:val="22"/>
        </w:rPr>
      </w:pPr>
      <w:r w:rsidRPr="001208FC">
        <w:rPr>
          <w:rFonts w:ascii="Garamond" w:hAnsi="Garamond" w:cstheme="minorHAnsi"/>
          <w:sz w:val="22"/>
          <w:szCs w:val="22"/>
        </w:rPr>
        <w:t xml:space="preserve">Payers are required to submit three Relative Price (RP) templates to CHIA annually, containing data for the previous calendar year. One template will contain inpatient and outpatient hospital data.  A second template will contain physician group data, and </w:t>
      </w:r>
      <w:r w:rsidR="00787C97">
        <w:rPr>
          <w:rFonts w:ascii="Garamond" w:hAnsi="Garamond" w:cstheme="minorHAnsi"/>
          <w:sz w:val="22"/>
          <w:szCs w:val="22"/>
        </w:rPr>
        <w:t>the</w:t>
      </w:r>
      <w:r w:rsidRPr="001208FC">
        <w:rPr>
          <w:rFonts w:ascii="Garamond" w:hAnsi="Garamond" w:cstheme="minorHAnsi"/>
          <w:sz w:val="22"/>
          <w:szCs w:val="22"/>
        </w:rPr>
        <w:t xml:space="preserve"> third template will contain other provider data</w:t>
      </w:r>
      <w:r>
        <w:rPr>
          <w:rFonts w:ascii="Garamond" w:hAnsi="Garamond" w:cstheme="minorHAnsi"/>
          <w:sz w:val="22"/>
          <w:szCs w:val="22"/>
        </w:rPr>
        <w:t>.</w:t>
      </w:r>
    </w:p>
    <w:p w14:paraId="048150D4" w14:textId="64F65AD6" w:rsidR="00971191" w:rsidRPr="005C78DA" w:rsidRDefault="00BC4E64"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F</w:t>
      </w:r>
      <w:r w:rsidR="009C752C" w:rsidRPr="005C78DA">
        <w:rPr>
          <w:rFonts w:ascii="Garamond" w:hAnsi="Garamond" w:cstheme="minorHAnsi"/>
          <w:sz w:val="22"/>
          <w:szCs w:val="22"/>
        </w:rPr>
        <w:t>ile</w:t>
      </w:r>
      <w:r w:rsidRPr="005C78DA">
        <w:rPr>
          <w:rFonts w:ascii="Garamond" w:hAnsi="Garamond" w:cstheme="minorHAnsi"/>
          <w:sz w:val="22"/>
          <w:szCs w:val="22"/>
        </w:rPr>
        <w:t>s</w:t>
      </w:r>
      <w:r w:rsidR="009C752C" w:rsidRPr="005C78DA">
        <w:rPr>
          <w:rFonts w:ascii="Garamond" w:hAnsi="Garamond" w:cstheme="minorHAnsi"/>
          <w:sz w:val="22"/>
          <w:szCs w:val="22"/>
        </w:rPr>
        <w:t xml:space="preserve"> can only contain data for one </w:t>
      </w:r>
      <w:r w:rsidR="00857213">
        <w:rPr>
          <w:rFonts w:ascii="Garamond" w:hAnsi="Garamond" w:cstheme="minorHAnsi"/>
          <w:sz w:val="22"/>
          <w:szCs w:val="22"/>
        </w:rPr>
        <w:t xml:space="preserve">calendar </w:t>
      </w:r>
      <w:r w:rsidR="009C752C" w:rsidRPr="005C78DA">
        <w:rPr>
          <w:rFonts w:ascii="Garamond" w:hAnsi="Garamond" w:cstheme="minorHAnsi"/>
          <w:sz w:val="22"/>
          <w:szCs w:val="22"/>
        </w:rPr>
        <w:t>year</w:t>
      </w:r>
      <w:r w:rsidR="00857213">
        <w:rPr>
          <w:rFonts w:ascii="Garamond" w:hAnsi="Garamond" w:cstheme="minorHAnsi"/>
          <w:sz w:val="22"/>
          <w:szCs w:val="22"/>
        </w:rPr>
        <w:t xml:space="preserve"> and</w:t>
      </w:r>
      <w:r w:rsidR="00EA5275" w:rsidRPr="005C78DA">
        <w:rPr>
          <w:rFonts w:ascii="Garamond" w:hAnsi="Garamond" w:cstheme="minorHAnsi"/>
          <w:sz w:val="22"/>
          <w:szCs w:val="22"/>
        </w:rPr>
        <w:t xml:space="preserve"> will contain</w:t>
      </w:r>
      <w:r w:rsidR="00882D35" w:rsidRPr="005C78DA">
        <w:rPr>
          <w:rFonts w:ascii="Garamond" w:hAnsi="Garamond" w:cstheme="minorHAnsi"/>
          <w:sz w:val="22"/>
          <w:szCs w:val="22"/>
        </w:rPr>
        <w:t>:</w:t>
      </w:r>
    </w:p>
    <w:p w14:paraId="700687E4" w14:textId="77777777" w:rsidR="005A57AF" w:rsidRPr="005C78DA" w:rsidRDefault="005A57AF" w:rsidP="007A765E">
      <w:pPr>
        <w:pStyle w:val="Default"/>
        <w:numPr>
          <w:ilvl w:val="1"/>
          <w:numId w:val="2"/>
        </w:numPr>
        <w:spacing w:line="276" w:lineRule="auto"/>
        <w:rPr>
          <w:rFonts w:ascii="Garamond" w:hAnsi="Garamond" w:cstheme="minorHAnsi"/>
          <w:sz w:val="22"/>
          <w:szCs w:val="22"/>
        </w:rPr>
      </w:pPr>
      <w:r w:rsidRPr="005C78DA">
        <w:rPr>
          <w:rFonts w:ascii="Garamond" w:hAnsi="Garamond" w:cstheme="minorHAnsi"/>
          <w:sz w:val="22"/>
          <w:szCs w:val="22"/>
        </w:rPr>
        <w:t>Payer comment</w:t>
      </w:r>
      <w:r w:rsidR="00EA5275" w:rsidRPr="005C78DA">
        <w:rPr>
          <w:rFonts w:ascii="Garamond" w:hAnsi="Garamond" w:cstheme="minorHAnsi"/>
          <w:sz w:val="22"/>
          <w:szCs w:val="22"/>
        </w:rPr>
        <w:t>s</w:t>
      </w:r>
      <w:r w:rsidR="00BC4E64" w:rsidRPr="005C78DA">
        <w:rPr>
          <w:rFonts w:ascii="Garamond" w:hAnsi="Garamond" w:cstheme="minorHAnsi"/>
          <w:sz w:val="22"/>
          <w:szCs w:val="22"/>
        </w:rPr>
        <w:t xml:space="preserve"> (in all files)</w:t>
      </w:r>
    </w:p>
    <w:p w14:paraId="23594B8A" w14:textId="5A07C032" w:rsidR="001208FC" w:rsidRPr="001208FC" w:rsidRDefault="00857213" w:rsidP="001208FC">
      <w:pPr>
        <w:pStyle w:val="Default"/>
        <w:numPr>
          <w:ilvl w:val="1"/>
          <w:numId w:val="2"/>
        </w:numPr>
        <w:spacing w:line="276" w:lineRule="auto"/>
        <w:rPr>
          <w:rFonts w:ascii="Garamond" w:hAnsi="Garamond" w:cstheme="minorHAnsi"/>
          <w:sz w:val="22"/>
          <w:szCs w:val="22"/>
        </w:rPr>
      </w:pPr>
      <w:r>
        <w:rPr>
          <w:rFonts w:ascii="Garamond" w:hAnsi="Garamond" w:cstheme="minorHAnsi"/>
          <w:sz w:val="22"/>
          <w:szCs w:val="22"/>
        </w:rPr>
        <w:t>D</w:t>
      </w:r>
      <w:r w:rsidR="001208FC" w:rsidRPr="001208FC">
        <w:rPr>
          <w:rFonts w:ascii="Garamond" w:hAnsi="Garamond" w:cstheme="minorHAnsi"/>
          <w:sz w:val="22"/>
          <w:szCs w:val="22"/>
        </w:rPr>
        <w:t>ata for the following insurance categories:</w:t>
      </w:r>
    </w:p>
    <w:p w14:paraId="33B3B584" w14:textId="77777777" w:rsidR="001208FC" w:rsidRPr="001208FC" w:rsidRDefault="001208FC" w:rsidP="003514E5">
      <w:pPr>
        <w:pStyle w:val="Default"/>
        <w:numPr>
          <w:ilvl w:val="2"/>
          <w:numId w:val="2"/>
        </w:numPr>
        <w:spacing w:line="276" w:lineRule="auto"/>
        <w:rPr>
          <w:rFonts w:ascii="Garamond" w:hAnsi="Garamond" w:cstheme="minorHAnsi"/>
          <w:sz w:val="22"/>
          <w:szCs w:val="22"/>
        </w:rPr>
      </w:pPr>
      <w:r w:rsidRPr="001208FC">
        <w:rPr>
          <w:rFonts w:ascii="Garamond" w:hAnsi="Garamond" w:cstheme="minorHAnsi"/>
          <w:sz w:val="22"/>
          <w:szCs w:val="22"/>
        </w:rPr>
        <w:t>Commercial (self and fully insured)</w:t>
      </w:r>
    </w:p>
    <w:p w14:paraId="10474E44" w14:textId="77777777" w:rsidR="001208FC" w:rsidRPr="001208FC" w:rsidRDefault="001208FC" w:rsidP="003514E5">
      <w:pPr>
        <w:pStyle w:val="Default"/>
        <w:numPr>
          <w:ilvl w:val="2"/>
          <w:numId w:val="2"/>
        </w:numPr>
        <w:spacing w:line="276" w:lineRule="auto"/>
        <w:rPr>
          <w:rFonts w:ascii="Garamond" w:hAnsi="Garamond" w:cstheme="minorHAnsi"/>
          <w:sz w:val="22"/>
          <w:szCs w:val="22"/>
        </w:rPr>
      </w:pPr>
      <w:r w:rsidRPr="001208FC">
        <w:rPr>
          <w:rFonts w:ascii="Garamond" w:hAnsi="Garamond" w:cstheme="minorHAnsi"/>
          <w:sz w:val="22"/>
          <w:szCs w:val="22"/>
        </w:rPr>
        <w:t>Medicare Advantage</w:t>
      </w:r>
    </w:p>
    <w:p w14:paraId="1A923ADB" w14:textId="77777777" w:rsidR="001208FC" w:rsidRPr="001208FC" w:rsidRDefault="001208FC" w:rsidP="003514E5">
      <w:pPr>
        <w:pStyle w:val="Default"/>
        <w:numPr>
          <w:ilvl w:val="2"/>
          <w:numId w:val="2"/>
        </w:numPr>
        <w:spacing w:line="276" w:lineRule="auto"/>
        <w:rPr>
          <w:rFonts w:ascii="Garamond" w:hAnsi="Garamond" w:cstheme="minorHAnsi"/>
          <w:sz w:val="22"/>
          <w:szCs w:val="22"/>
        </w:rPr>
      </w:pPr>
      <w:r w:rsidRPr="001208FC">
        <w:rPr>
          <w:rFonts w:ascii="Garamond" w:hAnsi="Garamond" w:cstheme="minorHAnsi"/>
          <w:sz w:val="22"/>
          <w:szCs w:val="22"/>
        </w:rPr>
        <w:t>Medicaid Managed Care Organization (MCO)/Accountable Care Organization (ACO-A)</w:t>
      </w:r>
    </w:p>
    <w:p w14:paraId="76E8A737" w14:textId="7665330D" w:rsidR="001208FC" w:rsidRDefault="00787C97">
      <w:pPr>
        <w:pStyle w:val="Default"/>
        <w:numPr>
          <w:ilvl w:val="2"/>
          <w:numId w:val="2"/>
        </w:numPr>
        <w:spacing w:line="276" w:lineRule="auto"/>
        <w:rPr>
          <w:rFonts w:ascii="Garamond" w:hAnsi="Garamond" w:cstheme="minorHAnsi"/>
          <w:sz w:val="22"/>
          <w:szCs w:val="22"/>
        </w:rPr>
      </w:pPr>
      <w:r>
        <w:rPr>
          <w:rFonts w:ascii="Garamond" w:hAnsi="Garamond" w:cstheme="minorHAnsi"/>
          <w:sz w:val="22"/>
          <w:szCs w:val="22"/>
        </w:rPr>
        <w:t>SCO</w:t>
      </w:r>
    </w:p>
    <w:p w14:paraId="3C2E2F64" w14:textId="236ADC08" w:rsidR="00787C97" w:rsidRPr="001208FC" w:rsidRDefault="00787C97" w:rsidP="003514E5">
      <w:pPr>
        <w:pStyle w:val="Default"/>
        <w:numPr>
          <w:ilvl w:val="2"/>
          <w:numId w:val="2"/>
        </w:numPr>
        <w:spacing w:line="276" w:lineRule="auto"/>
        <w:rPr>
          <w:rFonts w:ascii="Garamond" w:hAnsi="Garamond" w:cstheme="minorHAnsi"/>
          <w:sz w:val="22"/>
          <w:szCs w:val="22"/>
        </w:rPr>
      </w:pPr>
      <w:r>
        <w:rPr>
          <w:rFonts w:ascii="Garamond" w:hAnsi="Garamond" w:cstheme="minorHAnsi"/>
          <w:sz w:val="22"/>
          <w:szCs w:val="22"/>
        </w:rPr>
        <w:t>OneCare</w:t>
      </w:r>
    </w:p>
    <w:p w14:paraId="231A4580" w14:textId="0D6C4EEC" w:rsidR="001208FC" w:rsidRDefault="001208FC" w:rsidP="003514E5">
      <w:pPr>
        <w:pStyle w:val="Default"/>
        <w:numPr>
          <w:ilvl w:val="2"/>
          <w:numId w:val="2"/>
        </w:numPr>
        <w:spacing w:line="276" w:lineRule="auto"/>
        <w:rPr>
          <w:rFonts w:ascii="Garamond" w:hAnsi="Garamond" w:cstheme="minorHAnsi"/>
          <w:sz w:val="22"/>
          <w:szCs w:val="22"/>
        </w:rPr>
      </w:pPr>
      <w:r w:rsidRPr="001208FC">
        <w:rPr>
          <w:rFonts w:ascii="Garamond" w:hAnsi="Garamond" w:cstheme="minorHAnsi"/>
          <w:sz w:val="22"/>
          <w:szCs w:val="22"/>
        </w:rPr>
        <w:t>Other</w:t>
      </w:r>
      <w:r w:rsidR="0016504A">
        <w:rPr>
          <w:rFonts w:ascii="Garamond" w:hAnsi="Garamond" w:cstheme="minorHAnsi"/>
          <w:sz w:val="22"/>
          <w:szCs w:val="22"/>
        </w:rPr>
        <w:t xml:space="preserve"> (e.g., PACE)</w:t>
      </w:r>
    </w:p>
    <w:p w14:paraId="45981C7B" w14:textId="4A1B2DD0" w:rsidR="00312811" w:rsidRPr="005C78DA" w:rsidRDefault="00857213" w:rsidP="00D24DC2">
      <w:pPr>
        <w:pStyle w:val="Default"/>
        <w:spacing w:line="276" w:lineRule="auto"/>
        <w:ind w:left="720" w:firstLine="720"/>
        <w:rPr>
          <w:rFonts w:ascii="Garamond" w:hAnsi="Garamond" w:cstheme="minorHAnsi"/>
          <w:sz w:val="22"/>
          <w:szCs w:val="22"/>
        </w:rPr>
      </w:pPr>
      <w:r>
        <w:rPr>
          <w:rFonts w:ascii="Garamond" w:hAnsi="Garamond" w:cstheme="minorHAnsi"/>
          <w:sz w:val="22"/>
          <w:szCs w:val="22"/>
        </w:rPr>
        <w:t>R</w:t>
      </w:r>
      <w:r w:rsidR="001208FC" w:rsidRPr="001208FC">
        <w:rPr>
          <w:rFonts w:ascii="Garamond" w:hAnsi="Garamond" w:cstheme="minorHAnsi"/>
          <w:sz w:val="22"/>
          <w:szCs w:val="22"/>
        </w:rPr>
        <w:t>eport</w:t>
      </w:r>
      <w:r>
        <w:rPr>
          <w:rFonts w:ascii="Garamond" w:hAnsi="Garamond" w:cstheme="minorHAnsi"/>
          <w:sz w:val="22"/>
          <w:szCs w:val="22"/>
        </w:rPr>
        <w:t xml:space="preserve">ed </w:t>
      </w:r>
      <w:r w:rsidR="005A57AF" w:rsidRPr="005C78DA">
        <w:rPr>
          <w:rFonts w:ascii="Garamond" w:hAnsi="Garamond" w:cstheme="minorHAnsi"/>
          <w:sz w:val="22"/>
          <w:szCs w:val="22"/>
        </w:rPr>
        <w:t>by</w:t>
      </w:r>
      <w:r w:rsidR="00312811" w:rsidRPr="005C78DA">
        <w:rPr>
          <w:rFonts w:ascii="Garamond" w:hAnsi="Garamond" w:cstheme="minorHAnsi"/>
          <w:sz w:val="22"/>
          <w:szCs w:val="22"/>
        </w:rPr>
        <w:t>:</w:t>
      </w:r>
    </w:p>
    <w:p w14:paraId="77896ED3" w14:textId="77777777"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lastRenderedPageBreak/>
        <w:t xml:space="preserve">Acute hospital inpatient </w:t>
      </w:r>
    </w:p>
    <w:p w14:paraId="6E6D942E" w14:textId="77777777"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Acute hospital outpatient </w:t>
      </w:r>
    </w:p>
    <w:p w14:paraId="7CDA888A" w14:textId="342BE9A0"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Psychiatric hospital inpatient</w:t>
      </w:r>
      <w:r w:rsidR="00494302" w:rsidRPr="005C78DA">
        <w:rPr>
          <w:rFonts w:ascii="Garamond" w:hAnsi="Garamond" w:cstheme="minorHAnsi"/>
          <w:sz w:val="22"/>
          <w:szCs w:val="22"/>
        </w:rPr>
        <w:t xml:space="preserve">, including </w:t>
      </w:r>
      <w:r w:rsidR="009968BA" w:rsidRPr="005C78DA">
        <w:rPr>
          <w:rFonts w:ascii="Garamond" w:hAnsi="Garamond" w:cstheme="minorHAnsi"/>
          <w:sz w:val="22"/>
          <w:szCs w:val="22"/>
        </w:rPr>
        <w:t>behavioral health data for acute</w:t>
      </w:r>
      <w:r w:rsidR="00494302" w:rsidRPr="005C78DA">
        <w:rPr>
          <w:rFonts w:ascii="Garamond" w:hAnsi="Garamond" w:cstheme="minorHAnsi"/>
          <w:sz w:val="22"/>
          <w:szCs w:val="22"/>
        </w:rPr>
        <w:t xml:space="preserve"> hospitals with </w:t>
      </w:r>
      <w:r w:rsidR="009376E1" w:rsidRPr="005C78DA">
        <w:rPr>
          <w:rFonts w:ascii="Garamond" w:hAnsi="Garamond" w:cstheme="minorHAnsi"/>
          <w:sz w:val="22"/>
          <w:szCs w:val="22"/>
        </w:rPr>
        <w:t>psy</w:t>
      </w:r>
      <w:r w:rsidR="00494302" w:rsidRPr="005C78DA">
        <w:rPr>
          <w:rFonts w:ascii="Garamond" w:hAnsi="Garamond" w:cstheme="minorHAnsi"/>
          <w:sz w:val="22"/>
          <w:szCs w:val="22"/>
        </w:rPr>
        <w:t xml:space="preserve">chiatric care or substance </w:t>
      </w:r>
      <w:r w:rsidR="00B71BCE">
        <w:rPr>
          <w:rFonts w:ascii="Garamond" w:hAnsi="Garamond" w:cstheme="minorHAnsi"/>
          <w:sz w:val="22"/>
          <w:szCs w:val="22"/>
        </w:rPr>
        <w:t>use disorder</w:t>
      </w:r>
      <w:r w:rsidR="00B71BCE" w:rsidRPr="005C78DA">
        <w:rPr>
          <w:rFonts w:ascii="Garamond" w:hAnsi="Garamond" w:cstheme="minorHAnsi"/>
          <w:sz w:val="22"/>
          <w:szCs w:val="22"/>
        </w:rPr>
        <w:t xml:space="preserve"> </w:t>
      </w:r>
      <w:r w:rsidR="009376E1" w:rsidRPr="005C78DA">
        <w:rPr>
          <w:rFonts w:ascii="Garamond" w:hAnsi="Garamond" w:cstheme="minorHAnsi"/>
          <w:sz w:val="22"/>
          <w:szCs w:val="22"/>
        </w:rPr>
        <w:t>unit</w:t>
      </w:r>
      <w:r w:rsidR="0035102E" w:rsidRPr="005C78DA">
        <w:rPr>
          <w:rFonts w:ascii="Garamond" w:hAnsi="Garamond" w:cstheme="minorHAnsi"/>
          <w:sz w:val="22"/>
          <w:szCs w:val="22"/>
        </w:rPr>
        <w:t>s</w:t>
      </w:r>
    </w:p>
    <w:p w14:paraId="4DFE1DC7" w14:textId="2A72F8EF"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Chronic hospital inpatient </w:t>
      </w:r>
    </w:p>
    <w:p w14:paraId="28C94A57" w14:textId="77777777"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Chronic hospital outpatient </w:t>
      </w:r>
    </w:p>
    <w:p w14:paraId="4D35A66C" w14:textId="77777777" w:rsidR="00591B98" w:rsidRPr="005C78DA" w:rsidRDefault="00591B98"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Rehabilitation hospital inpatient</w:t>
      </w:r>
    </w:p>
    <w:p w14:paraId="1E3E6DA1" w14:textId="77777777" w:rsidR="00591B98" w:rsidRPr="005C78DA" w:rsidRDefault="00591B98"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Rehabilitation hospital outpatient</w:t>
      </w:r>
    </w:p>
    <w:p w14:paraId="5C007EA5" w14:textId="77777777"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Physician group practices </w:t>
      </w:r>
    </w:p>
    <w:p w14:paraId="1A0772E2" w14:textId="77777777" w:rsidR="00312811"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Ambulatory surgical centers </w:t>
      </w:r>
    </w:p>
    <w:p w14:paraId="2ACF1401" w14:textId="77777777" w:rsidR="00D431C1" w:rsidRPr="005C78DA" w:rsidRDefault="00D431C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Community health centers </w:t>
      </w:r>
    </w:p>
    <w:p w14:paraId="653F4446" w14:textId="77777777" w:rsidR="00D431C1" w:rsidRPr="005C78DA" w:rsidRDefault="00D431C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Community mental health centers </w:t>
      </w:r>
    </w:p>
    <w:p w14:paraId="472B306F" w14:textId="77777777" w:rsidR="00D431C1" w:rsidRPr="005C78DA" w:rsidRDefault="00D431C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Freestanding clinical labs </w:t>
      </w:r>
    </w:p>
    <w:p w14:paraId="5EEDE797" w14:textId="77777777" w:rsidR="00D431C1" w:rsidRPr="005C78DA" w:rsidRDefault="00D431C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Freestanding diagnostic imaging </w:t>
      </w:r>
    </w:p>
    <w:p w14:paraId="67DA80D1" w14:textId="77777777" w:rsidR="00D431C1" w:rsidRPr="005C78DA" w:rsidRDefault="00D431C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Home health agencies </w:t>
      </w:r>
    </w:p>
    <w:p w14:paraId="448CC085" w14:textId="77777777" w:rsidR="00AB1EBF" w:rsidRPr="005C78DA" w:rsidRDefault="00312811" w:rsidP="007A765E">
      <w:pPr>
        <w:pStyle w:val="Default"/>
        <w:numPr>
          <w:ilvl w:val="2"/>
          <w:numId w:val="2"/>
        </w:numPr>
        <w:spacing w:line="276" w:lineRule="auto"/>
        <w:rPr>
          <w:rFonts w:ascii="Garamond" w:hAnsi="Garamond" w:cstheme="minorHAnsi"/>
          <w:sz w:val="22"/>
          <w:szCs w:val="22"/>
        </w:rPr>
      </w:pPr>
      <w:r w:rsidRPr="005C78DA">
        <w:rPr>
          <w:rFonts w:ascii="Garamond" w:hAnsi="Garamond" w:cstheme="minorHAnsi"/>
          <w:sz w:val="22"/>
          <w:szCs w:val="22"/>
        </w:rPr>
        <w:t xml:space="preserve">Skilled nursing facilities </w:t>
      </w:r>
    </w:p>
    <w:p w14:paraId="66C28C0D" w14:textId="77777777" w:rsidR="002F3166" w:rsidRPr="005C78DA" w:rsidRDefault="002F3166" w:rsidP="00D94268">
      <w:pPr>
        <w:pStyle w:val="Default"/>
        <w:spacing w:line="276" w:lineRule="auto"/>
        <w:rPr>
          <w:rFonts w:ascii="Garamond" w:hAnsi="Garamond" w:cstheme="minorHAnsi"/>
          <w:sz w:val="22"/>
          <w:szCs w:val="22"/>
        </w:rPr>
      </w:pPr>
    </w:p>
    <w:p w14:paraId="70499799" w14:textId="007C8285" w:rsidR="00512B79" w:rsidRPr="005C78DA" w:rsidRDefault="00BC4E64"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Please see </w:t>
      </w:r>
      <w:r w:rsidR="005165EF" w:rsidRPr="005C78DA">
        <w:rPr>
          <w:rFonts w:ascii="Garamond" w:hAnsi="Garamond" w:cstheme="minorHAnsi"/>
          <w:sz w:val="22"/>
          <w:szCs w:val="22"/>
        </w:rPr>
        <w:t xml:space="preserve">Appendix </w:t>
      </w:r>
      <w:r w:rsidR="0016504A">
        <w:rPr>
          <w:rFonts w:ascii="Garamond" w:hAnsi="Garamond" w:cstheme="minorHAnsi"/>
          <w:sz w:val="22"/>
          <w:szCs w:val="22"/>
        </w:rPr>
        <w:t>E</w:t>
      </w:r>
      <w:r w:rsidR="00C661A9" w:rsidRPr="005C78DA">
        <w:rPr>
          <w:rFonts w:ascii="Garamond" w:hAnsi="Garamond" w:cstheme="minorHAnsi"/>
          <w:sz w:val="22"/>
          <w:szCs w:val="22"/>
        </w:rPr>
        <w:t xml:space="preserve"> </w:t>
      </w:r>
      <w:r w:rsidR="005165EF" w:rsidRPr="005C78DA">
        <w:rPr>
          <w:rFonts w:ascii="Garamond" w:hAnsi="Garamond" w:cstheme="minorHAnsi"/>
          <w:sz w:val="22"/>
          <w:szCs w:val="22"/>
        </w:rPr>
        <w:t xml:space="preserve">of </w:t>
      </w:r>
      <w:r w:rsidRPr="005C78DA">
        <w:rPr>
          <w:rFonts w:ascii="Garamond" w:hAnsi="Garamond" w:cstheme="minorHAnsi"/>
          <w:sz w:val="22"/>
          <w:szCs w:val="22"/>
        </w:rPr>
        <w:t>this document for information regarding file naming conventions for hospital and non-hospital</w:t>
      </w:r>
      <w:r w:rsidR="005165EF" w:rsidRPr="005C78DA">
        <w:rPr>
          <w:rFonts w:ascii="Garamond" w:hAnsi="Garamond" w:cstheme="minorHAnsi"/>
          <w:sz w:val="22"/>
          <w:szCs w:val="22"/>
        </w:rPr>
        <w:t xml:space="preserve"> </w:t>
      </w:r>
      <w:r w:rsidR="00956161" w:rsidRPr="005C78DA">
        <w:rPr>
          <w:rFonts w:ascii="Garamond" w:hAnsi="Garamond" w:cstheme="minorHAnsi"/>
          <w:sz w:val="22"/>
          <w:szCs w:val="22"/>
        </w:rPr>
        <w:t>RP</w:t>
      </w:r>
      <w:r w:rsidR="005165EF" w:rsidRPr="005C78DA">
        <w:rPr>
          <w:rFonts w:ascii="Garamond" w:hAnsi="Garamond" w:cstheme="minorHAnsi"/>
          <w:sz w:val="22"/>
          <w:szCs w:val="22"/>
        </w:rPr>
        <w:t xml:space="preserve"> data files,</w:t>
      </w:r>
      <w:r w:rsidR="00AB1EBF" w:rsidRPr="005C78DA">
        <w:rPr>
          <w:rFonts w:ascii="Garamond" w:hAnsi="Garamond" w:cstheme="minorHAnsi"/>
          <w:sz w:val="22"/>
          <w:szCs w:val="22"/>
        </w:rPr>
        <w:t xml:space="preserve"> layout specification</w:t>
      </w:r>
      <w:r w:rsidR="00DD4F5C" w:rsidRPr="005C78DA">
        <w:rPr>
          <w:rFonts w:ascii="Garamond" w:hAnsi="Garamond" w:cstheme="minorHAnsi"/>
          <w:sz w:val="22"/>
          <w:szCs w:val="22"/>
        </w:rPr>
        <w:t>s</w:t>
      </w:r>
      <w:r w:rsidR="005165EF" w:rsidRPr="005C78DA">
        <w:rPr>
          <w:rFonts w:ascii="Garamond" w:hAnsi="Garamond" w:cstheme="minorHAnsi"/>
          <w:sz w:val="22"/>
          <w:szCs w:val="22"/>
        </w:rPr>
        <w:t>,</w:t>
      </w:r>
      <w:r w:rsidR="00AB1EBF" w:rsidRPr="005C78DA">
        <w:rPr>
          <w:rFonts w:ascii="Garamond" w:hAnsi="Garamond" w:cstheme="minorHAnsi"/>
          <w:sz w:val="22"/>
          <w:szCs w:val="22"/>
        </w:rPr>
        <w:t xml:space="preserve"> and </w:t>
      </w:r>
      <w:r w:rsidR="00DD4F5C" w:rsidRPr="005C78DA">
        <w:rPr>
          <w:rFonts w:ascii="Garamond" w:hAnsi="Garamond" w:cstheme="minorHAnsi"/>
          <w:sz w:val="22"/>
          <w:szCs w:val="22"/>
        </w:rPr>
        <w:t>field</w:t>
      </w:r>
      <w:r w:rsidR="00AB1EBF" w:rsidRPr="005C78DA">
        <w:rPr>
          <w:rFonts w:ascii="Garamond" w:hAnsi="Garamond" w:cstheme="minorHAnsi"/>
          <w:sz w:val="22"/>
          <w:szCs w:val="22"/>
        </w:rPr>
        <w:t xml:space="preserve"> definitions.</w:t>
      </w:r>
      <w:r w:rsidR="00AB7EBF">
        <w:rPr>
          <w:rFonts w:ascii="Garamond" w:hAnsi="Garamond" w:cstheme="minorHAnsi"/>
          <w:sz w:val="22"/>
          <w:szCs w:val="22"/>
        </w:rPr>
        <w:t xml:space="preserve"> </w:t>
      </w:r>
    </w:p>
    <w:p w14:paraId="702C6D9F" w14:textId="77777777" w:rsidR="00AA7237" w:rsidRDefault="00AA7237" w:rsidP="00D94268">
      <w:pPr>
        <w:pStyle w:val="Default"/>
        <w:spacing w:line="276" w:lineRule="auto"/>
        <w:rPr>
          <w:rFonts w:ascii="Garamond" w:hAnsi="Garamond" w:cstheme="minorHAnsi"/>
          <w:sz w:val="22"/>
          <w:szCs w:val="22"/>
        </w:rPr>
      </w:pPr>
    </w:p>
    <w:p w14:paraId="4366F92C" w14:textId="77777777" w:rsidR="00EA5275" w:rsidRPr="005C78DA" w:rsidRDefault="005F7408" w:rsidP="005F7408">
      <w:pPr>
        <w:pStyle w:val="Default"/>
        <w:outlineLvl w:val="0"/>
        <w:rPr>
          <w:rFonts w:ascii="Garamond" w:hAnsi="Garamond" w:cstheme="minorHAnsi"/>
          <w:b/>
          <w:sz w:val="22"/>
          <w:szCs w:val="22"/>
        </w:rPr>
      </w:pPr>
      <w:bookmarkStart w:id="2" w:name="_Toc112161026"/>
      <w:r>
        <w:rPr>
          <w:rFonts w:ascii="Garamond" w:hAnsi="Garamond" w:cstheme="minorHAnsi"/>
          <w:b/>
          <w:sz w:val="22"/>
          <w:szCs w:val="22"/>
        </w:rPr>
        <w:t>3.</w:t>
      </w:r>
      <w:r>
        <w:rPr>
          <w:rFonts w:ascii="Garamond" w:hAnsi="Garamond" w:cstheme="minorHAnsi"/>
          <w:b/>
          <w:sz w:val="22"/>
          <w:szCs w:val="22"/>
        </w:rPr>
        <w:tab/>
      </w:r>
      <w:r w:rsidR="00EA5275" w:rsidRPr="005C78DA">
        <w:rPr>
          <w:rFonts w:ascii="Garamond" w:hAnsi="Garamond" w:cstheme="minorHAnsi"/>
          <w:b/>
          <w:sz w:val="22"/>
          <w:szCs w:val="22"/>
        </w:rPr>
        <w:t>File Submission Instructions &amp; Schedule</w:t>
      </w:r>
      <w:bookmarkEnd w:id="2"/>
    </w:p>
    <w:p w14:paraId="6071DC55" w14:textId="77777777" w:rsidR="00E11E3C" w:rsidRDefault="00E11E3C" w:rsidP="00E11E3C">
      <w:pPr>
        <w:pStyle w:val="Default"/>
        <w:rPr>
          <w:rFonts w:ascii="Garamond" w:hAnsi="Garamond" w:cstheme="minorHAnsi"/>
          <w:b/>
          <w:sz w:val="22"/>
          <w:szCs w:val="22"/>
        </w:rPr>
      </w:pPr>
    </w:p>
    <w:p w14:paraId="0B1E906F" w14:textId="5D84E60B" w:rsidR="00645A46" w:rsidRPr="005C78DA" w:rsidRDefault="0097119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will submit </w:t>
      </w:r>
      <w:r w:rsidR="001A0668" w:rsidRPr="005C78DA">
        <w:rPr>
          <w:rFonts w:ascii="Garamond" w:hAnsi="Garamond" w:cstheme="minorHAnsi"/>
          <w:sz w:val="22"/>
          <w:szCs w:val="22"/>
        </w:rPr>
        <w:t>RP</w:t>
      </w:r>
      <w:r w:rsidRPr="005C78DA">
        <w:rPr>
          <w:rFonts w:ascii="Garamond" w:hAnsi="Garamond" w:cstheme="minorHAnsi"/>
          <w:sz w:val="22"/>
          <w:szCs w:val="22"/>
        </w:rPr>
        <w:t xml:space="preserve"> data via </w:t>
      </w:r>
      <w:r w:rsidR="00F55259">
        <w:rPr>
          <w:rFonts w:ascii="Garamond" w:hAnsi="Garamond" w:cstheme="minorHAnsi"/>
          <w:sz w:val="22"/>
          <w:szCs w:val="22"/>
        </w:rPr>
        <w:t>CHIA Submissions</w:t>
      </w:r>
      <w:r w:rsidR="001A0668" w:rsidRPr="005C78DA">
        <w:rPr>
          <w:rStyle w:val="FootnoteReference"/>
          <w:rFonts w:ascii="Garamond" w:hAnsi="Garamond" w:cstheme="minorHAnsi"/>
          <w:sz w:val="22"/>
          <w:szCs w:val="22"/>
        </w:rPr>
        <w:footnoteReference w:id="2"/>
      </w:r>
      <w:r w:rsidR="00F55259">
        <w:rPr>
          <w:rFonts w:ascii="Garamond" w:hAnsi="Garamond" w:cstheme="minorHAnsi"/>
          <w:sz w:val="22"/>
          <w:szCs w:val="22"/>
        </w:rPr>
        <w:t xml:space="preserve"> in a Microsoft Excel file template provided by CHIA. The template will be available to download on CHIA’s website at </w:t>
      </w:r>
      <w:hyperlink r:id="rId11" w:history="1">
        <w:r w:rsidR="00F55259" w:rsidRPr="008C1A2F">
          <w:rPr>
            <w:rStyle w:val="Hyperlink"/>
            <w:rFonts w:ascii="Garamond" w:hAnsi="Garamond" w:cstheme="minorHAnsi"/>
            <w:sz w:val="22"/>
            <w:szCs w:val="22"/>
          </w:rPr>
          <w:t>http://www.chiamass.gov/payer-data-reporting-relative-price-rp/</w:t>
        </w:r>
      </w:hyperlink>
      <w:r w:rsidR="00F55259">
        <w:rPr>
          <w:rFonts w:ascii="Garamond" w:hAnsi="Garamond" w:cstheme="minorHAnsi"/>
          <w:sz w:val="22"/>
          <w:szCs w:val="22"/>
        </w:rPr>
        <w:t>. Payers must enter the data in the appropriate columns of the Data tabs in the template</w:t>
      </w:r>
      <w:r w:rsidR="0097128E" w:rsidRPr="005C78DA">
        <w:rPr>
          <w:rFonts w:ascii="Garamond" w:hAnsi="Garamond" w:cstheme="minorHAnsi"/>
          <w:sz w:val="22"/>
          <w:szCs w:val="22"/>
        </w:rPr>
        <w:t>.</w:t>
      </w:r>
      <w:r w:rsidR="00F55259">
        <w:rPr>
          <w:rFonts w:ascii="Garamond" w:hAnsi="Garamond" w:cstheme="minorHAnsi"/>
          <w:sz w:val="22"/>
          <w:szCs w:val="22"/>
        </w:rPr>
        <w:t xml:space="preserve"> After entering the data, payers must click the </w:t>
      </w:r>
      <w:r w:rsidR="00547775">
        <w:rPr>
          <w:rFonts w:ascii="Garamond" w:hAnsi="Garamond" w:cstheme="minorHAnsi"/>
          <w:sz w:val="22"/>
          <w:szCs w:val="22"/>
        </w:rPr>
        <w:t>Data Review button on the Front Page tab. This will verify the data entered and allow for review prior to submission.</w:t>
      </w:r>
      <w:r w:rsidR="00AB7EBF">
        <w:rPr>
          <w:rFonts w:ascii="Garamond" w:hAnsi="Garamond" w:cstheme="minorHAnsi"/>
          <w:sz w:val="22"/>
          <w:szCs w:val="22"/>
        </w:rPr>
        <w:t xml:space="preserve"> </w:t>
      </w:r>
    </w:p>
    <w:p w14:paraId="2E97A6DA" w14:textId="77777777" w:rsidR="009F3EBE" w:rsidRPr="005C78DA" w:rsidRDefault="009F3EBE" w:rsidP="00D94268">
      <w:pPr>
        <w:pStyle w:val="Default"/>
        <w:spacing w:line="276" w:lineRule="auto"/>
        <w:ind w:left="1080"/>
        <w:rPr>
          <w:rFonts w:ascii="Garamond" w:hAnsi="Garamond" w:cstheme="minorHAnsi"/>
          <w:sz w:val="22"/>
          <w:szCs w:val="22"/>
        </w:rPr>
      </w:pPr>
    </w:p>
    <w:p w14:paraId="0AE8B956" w14:textId="2CFAD6FD" w:rsidR="00971191" w:rsidRPr="005C78DA" w:rsidRDefault="009432A6" w:rsidP="09E1B708">
      <w:pPr>
        <w:pStyle w:val="Default"/>
        <w:spacing w:line="276" w:lineRule="auto"/>
        <w:rPr>
          <w:rFonts w:ascii="Garamond" w:hAnsi="Garamond" w:cstheme="minorBidi"/>
          <w:sz w:val="22"/>
          <w:szCs w:val="22"/>
        </w:rPr>
      </w:pPr>
      <w:r w:rsidRPr="09E1B708">
        <w:rPr>
          <w:rFonts w:ascii="Garamond" w:hAnsi="Garamond" w:cstheme="minorBidi"/>
          <w:sz w:val="22"/>
          <w:szCs w:val="22"/>
        </w:rPr>
        <w:t xml:space="preserve">In </w:t>
      </w:r>
      <w:r w:rsidR="003C1626" w:rsidRPr="09E1B708">
        <w:rPr>
          <w:rFonts w:ascii="Garamond" w:hAnsi="Garamond" w:cstheme="minorBidi"/>
          <w:sz w:val="22"/>
          <w:szCs w:val="22"/>
        </w:rPr>
        <w:t>202</w:t>
      </w:r>
      <w:r w:rsidR="1BA02AFE" w:rsidRPr="09E1B708">
        <w:rPr>
          <w:rFonts w:ascii="Garamond" w:hAnsi="Garamond" w:cstheme="minorBidi"/>
          <w:sz w:val="22"/>
          <w:szCs w:val="22"/>
        </w:rPr>
        <w:t>4</w:t>
      </w:r>
      <w:r w:rsidRPr="09E1B708">
        <w:rPr>
          <w:rFonts w:ascii="Garamond" w:hAnsi="Garamond" w:cstheme="minorBidi"/>
          <w:sz w:val="22"/>
          <w:szCs w:val="22"/>
        </w:rPr>
        <w:t xml:space="preserve">, payers will submit </w:t>
      </w:r>
      <w:r w:rsidR="003C1626" w:rsidRPr="09E1B708">
        <w:rPr>
          <w:rFonts w:ascii="Garamond" w:hAnsi="Garamond" w:cstheme="minorBidi"/>
          <w:sz w:val="22"/>
          <w:szCs w:val="22"/>
        </w:rPr>
        <w:t xml:space="preserve">four </w:t>
      </w:r>
      <w:r w:rsidR="00956161" w:rsidRPr="09E1B708">
        <w:rPr>
          <w:rFonts w:ascii="Garamond" w:hAnsi="Garamond" w:cstheme="minorBidi"/>
          <w:sz w:val="22"/>
          <w:szCs w:val="22"/>
        </w:rPr>
        <w:t>RP</w:t>
      </w:r>
      <w:r w:rsidRPr="09E1B708">
        <w:rPr>
          <w:rFonts w:ascii="Garamond" w:hAnsi="Garamond" w:cstheme="minorBidi"/>
          <w:sz w:val="22"/>
          <w:szCs w:val="22"/>
        </w:rPr>
        <w:t xml:space="preserve"> files to </w:t>
      </w:r>
      <w:r w:rsidR="00216AE9" w:rsidRPr="09E1B708">
        <w:rPr>
          <w:rFonts w:ascii="Garamond" w:hAnsi="Garamond" w:cstheme="minorBidi"/>
          <w:sz w:val="22"/>
          <w:szCs w:val="22"/>
        </w:rPr>
        <w:t>CHIA</w:t>
      </w:r>
      <w:r w:rsidRPr="09E1B708">
        <w:rPr>
          <w:rFonts w:ascii="Garamond" w:hAnsi="Garamond" w:cstheme="minorBidi"/>
          <w:sz w:val="22"/>
          <w:szCs w:val="22"/>
        </w:rPr>
        <w:t xml:space="preserve">. </w:t>
      </w:r>
      <w:r w:rsidR="00971191" w:rsidRPr="09E1B708">
        <w:rPr>
          <w:rFonts w:ascii="Garamond" w:hAnsi="Garamond" w:cstheme="minorBidi"/>
          <w:sz w:val="22"/>
          <w:szCs w:val="22"/>
        </w:rPr>
        <w:t>The ‘HOS’ notation will apply to hospital relative price files,</w:t>
      </w:r>
      <w:r w:rsidR="00B87E3F" w:rsidRPr="09E1B708">
        <w:rPr>
          <w:rFonts w:ascii="Garamond" w:hAnsi="Garamond" w:cstheme="minorBidi"/>
          <w:sz w:val="22"/>
          <w:szCs w:val="22"/>
        </w:rPr>
        <w:t xml:space="preserve"> </w:t>
      </w:r>
      <w:r w:rsidR="00971191" w:rsidRPr="09E1B708">
        <w:rPr>
          <w:rFonts w:ascii="Garamond" w:hAnsi="Garamond" w:cstheme="minorBidi"/>
          <w:sz w:val="22"/>
          <w:szCs w:val="22"/>
        </w:rPr>
        <w:t>the ‘PG’ notation will apply to the physician group</w:t>
      </w:r>
      <w:r w:rsidR="00B87E3F" w:rsidRPr="09E1B708">
        <w:rPr>
          <w:rFonts w:ascii="Garamond" w:hAnsi="Garamond" w:cstheme="minorBidi"/>
          <w:sz w:val="22"/>
          <w:szCs w:val="22"/>
        </w:rPr>
        <w:t xml:space="preserve"> relative price file</w:t>
      </w:r>
      <w:r w:rsidR="003C1626" w:rsidRPr="09E1B708">
        <w:rPr>
          <w:rFonts w:ascii="Garamond" w:hAnsi="Garamond" w:cstheme="minorBidi"/>
          <w:sz w:val="22"/>
          <w:szCs w:val="22"/>
        </w:rPr>
        <w:t>,</w:t>
      </w:r>
      <w:r w:rsidR="00971191" w:rsidRPr="09E1B708">
        <w:rPr>
          <w:rFonts w:ascii="Garamond" w:hAnsi="Garamond" w:cstheme="minorBidi"/>
          <w:sz w:val="22"/>
          <w:szCs w:val="22"/>
        </w:rPr>
        <w:t xml:space="preserve"> and </w:t>
      </w:r>
      <w:r w:rsidR="00B87E3F" w:rsidRPr="09E1B708">
        <w:rPr>
          <w:rFonts w:ascii="Garamond" w:hAnsi="Garamond" w:cstheme="minorBidi"/>
          <w:sz w:val="22"/>
          <w:szCs w:val="22"/>
        </w:rPr>
        <w:t xml:space="preserve">the ‘OP’ notation will apply to the </w:t>
      </w:r>
      <w:r w:rsidR="00971191" w:rsidRPr="09E1B708">
        <w:rPr>
          <w:rFonts w:ascii="Garamond" w:hAnsi="Garamond" w:cstheme="minorBidi"/>
          <w:sz w:val="22"/>
          <w:szCs w:val="22"/>
        </w:rPr>
        <w:t>other provider relative price file.</w:t>
      </w:r>
      <w:r w:rsidR="00AB7EBF" w:rsidRPr="09E1B708">
        <w:rPr>
          <w:rFonts w:ascii="Garamond" w:hAnsi="Garamond" w:cstheme="minorBidi"/>
          <w:sz w:val="22"/>
          <w:szCs w:val="22"/>
        </w:rPr>
        <w:t xml:space="preserve"> </w:t>
      </w:r>
      <w:r w:rsidR="00971191" w:rsidRPr="09E1B708">
        <w:rPr>
          <w:rFonts w:ascii="Garamond" w:hAnsi="Garamond" w:cstheme="minorBidi"/>
          <w:sz w:val="22"/>
          <w:szCs w:val="22"/>
        </w:rPr>
        <w:t>HOS</w:t>
      </w:r>
      <w:r w:rsidR="00DC3D0B" w:rsidRPr="09E1B708">
        <w:rPr>
          <w:rFonts w:ascii="Garamond" w:hAnsi="Garamond" w:cstheme="minorBidi"/>
          <w:sz w:val="22"/>
          <w:szCs w:val="22"/>
        </w:rPr>
        <w:t xml:space="preserve"> files</w:t>
      </w:r>
      <w:r w:rsidR="00971191" w:rsidRPr="09E1B708">
        <w:rPr>
          <w:rFonts w:ascii="Garamond" w:hAnsi="Garamond" w:cstheme="minorBidi"/>
          <w:sz w:val="22"/>
          <w:szCs w:val="22"/>
        </w:rPr>
        <w:t xml:space="preserve"> must contain only hospital record types.</w:t>
      </w:r>
      <w:r w:rsidR="00AB7EBF" w:rsidRPr="09E1B708">
        <w:rPr>
          <w:rFonts w:ascii="Garamond" w:hAnsi="Garamond" w:cstheme="minorBidi"/>
          <w:sz w:val="22"/>
          <w:szCs w:val="22"/>
        </w:rPr>
        <w:t xml:space="preserve"> </w:t>
      </w:r>
      <w:r w:rsidR="00971191" w:rsidRPr="09E1B708">
        <w:rPr>
          <w:rFonts w:ascii="Garamond" w:hAnsi="Garamond" w:cstheme="minorBidi"/>
          <w:sz w:val="22"/>
          <w:szCs w:val="22"/>
        </w:rPr>
        <w:t>PG</w:t>
      </w:r>
      <w:r w:rsidR="00B87E3F" w:rsidRPr="09E1B708">
        <w:rPr>
          <w:rFonts w:ascii="Garamond" w:hAnsi="Garamond" w:cstheme="minorBidi"/>
          <w:sz w:val="22"/>
          <w:szCs w:val="22"/>
        </w:rPr>
        <w:t xml:space="preserve"> </w:t>
      </w:r>
      <w:r w:rsidR="00DC3D0B" w:rsidRPr="09E1B708">
        <w:rPr>
          <w:rFonts w:ascii="Garamond" w:hAnsi="Garamond" w:cstheme="minorBidi"/>
          <w:sz w:val="22"/>
          <w:szCs w:val="22"/>
        </w:rPr>
        <w:t>and</w:t>
      </w:r>
      <w:r w:rsidR="00B87E3F" w:rsidRPr="09E1B708">
        <w:rPr>
          <w:rFonts w:ascii="Garamond" w:hAnsi="Garamond" w:cstheme="minorBidi"/>
          <w:sz w:val="22"/>
          <w:szCs w:val="22"/>
        </w:rPr>
        <w:t xml:space="preserve"> OP</w:t>
      </w:r>
      <w:r w:rsidR="00DC3D0B" w:rsidRPr="09E1B708">
        <w:rPr>
          <w:rFonts w:ascii="Garamond" w:hAnsi="Garamond" w:cstheme="minorBidi"/>
          <w:sz w:val="22"/>
          <w:szCs w:val="22"/>
        </w:rPr>
        <w:t xml:space="preserve"> files</w:t>
      </w:r>
      <w:r w:rsidR="00971191" w:rsidRPr="09E1B708">
        <w:rPr>
          <w:rFonts w:ascii="Garamond" w:hAnsi="Garamond" w:cstheme="minorBidi"/>
          <w:sz w:val="22"/>
          <w:szCs w:val="22"/>
        </w:rPr>
        <w:t xml:space="preserve"> must contain only </w:t>
      </w:r>
      <w:r w:rsidR="00230DD1" w:rsidRPr="09E1B708">
        <w:rPr>
          <w:rFonts w:ascii="Garamond" w:hAnsi="Garamond" w:cstheme="minorBidi"/>
          <w:sz w:val="22"/>
          <w:szCs w:val="22"/>
        </w:rPr>
        <w:t xml:space="preserve">physician </w:t>
      </w:r>
      <w:r w:rsidR="00DC3D0B" w:rsidRPr="09E1B708">
        <w:rPr>
          <w:rFonts w:ascii="Garamond" w:hAnsi="Garamond" w:cstheme="minorBidi"/>
          <w:sz w:val="22"/>
          <w:szCs w:val="22"/>
        </w:rPr>
        <w:t>and</w:t>
      </w:r>
      <w:r w:rsidR="00230DD1" w:rsidRPr="09E1B708">
        <w:rPr>
          <w:rFonts w:ascii="Garamond" w:hAnsi="Garamond" w:cstheme="minorBidi"/>
          <w:sz w:val="22"/>
          <w:szCs w:val="22"/>
        </w:rPr>
        <w:t xml:space="preserve"> other provider</w:t>
      </w:r>
      <w:r w:rsidR="00971191" w:rsidRPr="09E1B708">
        <w:rPr>
          <w:rFonts w:ascii="Garamond" w:hAnsi="Garamond" w:cstheme="minorBidi"/>
          <w:sz w:val="22"/>
          <w:szCs w:val="22"/>
        </w:rPr>
        <w:t xml:space="preserve"> record types</w:t>
      </w:r>
      <w:r w:rsidR="00230DD1" w:rsidRPr="09E1B708">
        <w:rPr>
          <w:rFonts w:ascii="Garamond" w:hAnsi="Garamond" w:cstheme="minorBidi"/>
          <w:sz w:val="22"/>
          <w:szCs w:val="22"/>
        </w:rPr>
        <w:t>, respectively</w:t>
      </w:r>
      <w:r w:rsidR="00971191" w:rsidRPr="09E1B708">
        <w:rPr>
          <w:rFonts w:ascii="Garamond" w:hAnsi="Garamond" w:cstheme="minorBidi"/>
          <w:sz w:val="22"/>
          <w:szCs w:val="22"/>
        </w:rPr>
        <w:t>.</w:t>
      </w:r>
      <w:r w:rsidR="00AB7EBF" w:rsidRPr="09E1B708">
        <w:rPr>
          <w:rFonts w:ascii="Garamond" w:hAnsi="Garamond" w:cstheme="minorBidi"/>
          <w:sz w:val="22"/>
          <w:szCs w:val="22"/>
        </w:rPr>
        <w:t xml:space="preserve"> </w:t>
      </w:r>
      <w:r w:rsidR="00971191" w:rsidRPr="09E1B708">
        <w:rPr>
          <w:rFonts w:ascii="Garamond" w:hAnsi="Garamond" w:cstheme="minorBidi"/>
          <w:sz w:val="22"/>
          <w:szCs w:val="22"/>
        </w:rPr>
        <w:t xml:space="preserve">If the record types reported in the file do not match </w:t>
      </w:r>
      <w:r w:rsidR="00D30A64" w:rsidRPr="09E1B708">
        <w:rPr>
          <w:rFonts w:ascii="Garamond" w:hAnsi="Garamond" w:cstheme="minorBidi"/>
          <w:sz w:val="22"/>
          <w:szCs w:val="22"/>
        </w:rPr>
        <w:t>the specific template, the file will not be accepted for submission</w:t>
      </w:r>
      <w:r w:rsidR="00971191" w:rsidRPr="09E1B708">
        <w:rPr>
          <w:rFonts w:ascii="Garamond" w:hAnsi="Garamond" w:cstheme="minorBidi"/>
          <w:sz w:val="22"/>
          <w:szCs w:val="22"/>
        </w:rPr>
        <w:t>.</w:t>
      </w:r>
      <w:r w:rsidR="00D30A64" w:rsidRPr="09E1B708">
        <w:rPr>
          <w:rFonts w:ascii="Garamond" w:hAnsi="Garamond" w:cstheme="minorBidi"/>
          <w:sz w:val="22"/>
          <w:szCs w:val="22"/>
        </w:rPr>
        <w:t xml:space="preserve"> The file naming convention will be auto-generated by the “Save and </w:t>
      </w:r>
      <w:r w:rsidR="001D3973" w:rsidRPr="09E1B708">
        <w:rPr>
          <w:rFonts w:ascii="Garamond" w:hAnsi="Garamond" w:cstheme="minorBidi"/>
          <w:sz w:val="22"/>
          <w:szCs w:val="22"/>
        </w:rPr>
        <w:t>Name Submission</w:t>
      </w:r>
      <w:r w:rsidR="00D30A64" w:rsidRPr="09E1B708">
        <w:rPr>
          <w:rFonts w:ascii="Garamond" w:hAnsi="Garamond" w:cstheme="minorBidi"/>
          <w:sz w:val="22"/>
          <w:szCs w:val="22"/>
        </w:rPr>
        <w:t>” button on the Front Page tab. If this format is not used, the file will not be accepted for submission.</w:t>
      </w:r>
      <w:r w:rsidRPr="09E1B708">
        <w:rPr>
          <w:rFonts w:ascii="Garamond" w:hAnsi="Garamond" w:cstheme="minorBidi"/>
          <w:sz w:val="22"/>
          <w:szCs w:val="22"/>
        </w:rPr>
        <w:t xml:space="preserve"> Please see the last page of this document for complete file naming instructions.</w:t>
      </w:r>
      <w:r w:rsidR="00AB7EBF" w:rsidRPr="09E1B708">
        <w:rPr>
          <w:rFonts w:ascii="Garamond" w:hAnsi="Garamond" w:cstheme="minorBidi"/>
          <w:sz w:val="22"/>
          <w:szCs w:val="22"/>
        </w:rPr>
        <w:t xml:space="preserve"> </w:t>
      </w:r>
    </w:p>
    <w:p w14:paraId="1D1ADE4D" w14:textId="77777777" w:rsidR="000624C5" w:rsidRPr="005C78DA" w:rsidRDefault="000624C5" w:rsidP="00D94268">
      <w:pPr>
        <w:pStyle w:val="Default"/>
        <w:spacing w:line="276" w:lineRule="auto"/>
        <w:rPr>
          <w:rFonts w:ascii="Garamond" w:hAnsi="Garamond" w:cstheme="minorHAnsi"/>
          <w:sz w:val="22"/>
          <w:szCs w:val="22"/>
        </w:rPr>
      </w:pPr>
    </w:p>
    <w:p w14:paraId="2ACF0372" w14:textId="00A6A644" w:rsidR="009432A6" w:rsidRPr="005C78DA" w:rsidRDefault="009432A6"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The</w:t>
      </w:r>
      <w:r w:rsidR="0083482A">
        <w:rPr>
          <w:rFonts w:ascii="Garamond" w:hAnsi="Garamond" w:cstheme="minorHAnsi"/>
          <w:sz w:val="22"/>
          <w:szCs w:val="22"/>
        </w:rPr>
        <w:t xml:space="preserve"> Front Page tab</w:t>
      </w:r>
      <w:r w:rsidRPr="005C78DA">
        <w:rPr>
          <w:rFonts w:ascii="Garamond" w:hAnsi="Garamond" w:cstheme="minorHAnsi"/>
          <w:sz w:val="22"/>
          <w:szCs w:val="22"/>
        </w:rPr>
        <w:t xml:space="preserve"> requires metadata information for the file and contains two fields for payer comments.</w:t>
      </w:r>
      <w:r w:rsidR="00AB7EBF">
        <w:rPr>
          <w:rFonts w:ascii="Garamond" w:hAnsi="Garamond" w:cstheme="minorHAnsi"/>
          <w:sz w:val="22"/>
          <w:szCs w:val="22"/>
        </w:rPr>
        <w:t xml:space="preserve"> </w:t>
      </w:r>
      <w:r w:rsidRPr="005C78DA">
        <w:rPr>
          <w:rFonts w:ascii="Garamond" w:hAnsi="Garamond" w:cstheme="minorHAnsi"/>
          <w:sz w:val="22"/>
          <w:szCs w:val="22"/>
        </w:rPr>
        <w:t xml:space="preserve">The “RP Comments” field allows payers to explain any </w:t>
      </w:r>
      <w:r w:rsidR="00C97797" w:rsidRPr="005C78DA">
        <w:rPr>
          <w:rFonts w:ascii="Garamond" w:hAnsi="Garamond" w:cstheme="minorHAnsi"/>
          <w:sz w:val="22"/>
          <w:szCs w:val="22"/>
        </w:rPr>
        <w:t xml:space="preserve">data </w:t>
      </w:r>
      <w:r w:rsidR="00896CE9" w:rsidRPr="005C78DA">
        <w:rPr>
          <w:rFonts w:ascii="Garamond" w:hAnsi="Garamond" w:cstheme="minorHAnsi"/>
          <w:sz w:val="22"/>
          <w:szCs w:val="22"/>
        </w:rPr>
        <w:t xml:space="preserve">nuances </w:t>
      </w:r>
      <w:r w:rsidRPr="005C78DA">
        <w:rPr>
          <w:rFonts w:ascii="Garamond" w:hAnsi="Garamond" w:cstheme="minorHAnsi"/>
          <w:sz w:val="22"/>
          <w:szCs w:val="22"/>
        </w:rPr>
        <w:t xml:space="preserve">or </w:t>
      </w:r>
      <w:r w:rsidR="00C97797" w:rsidRPr="005C78DA">
        <w:rPr>
          <w:rFonts w:ascii="Garamond" w:hAnsi="Garamond" w:cstheme="minorHAnsi"/>
          <w:sz w:val="22"/>
          <w:szCs w:val="22"/>
        </w:rPr>
        <w:t xml:space="preserve">other </w:t>
      </w:r>
      <w:r w:rsidRPr="005C78DA">
        <w:rPr>
          <w:rFonts w:ascii="Garamond" w:hAnsi="Garamond" w:cstheme="minorHAnsi"/>
          <w:sz w:val="22"/>
          <w:szCs w:val="22"/>
        </w:rPr>
        <w:t xml:space="preserve">issues that they wish to disclose to </w:t>
      </w:r>
      <w:r w:rsidR="001D16A5" w:rsidRPr="005C78DA">
        <w:rPr>
          <w:rFonts w:ascii="Garamond" w:hAnsi="Garamond" w:cstheme="minorHAnsi"/>
          <w:sz w:val="22"/>
          <w:szCs w:val="22"/>
        </w:rPr>
        <w:t>CHIA</w:t>
      </w:r>
      <w:r w:rsidR="00C97797" w:rsidRPr="005C78DA">
        <w:rPr>
          <w:rFonts w:ascii="Garamond" w:hAnsi="Garamond" w:cstheme="minorHAnsi"/>
          <w:sz w:val="22"/>
          <w:szCs w:val="22"/>
        </w:rPr>
        <w:t>,</w:t>
      </w:r>
      <w:r w:rsidRPr="005C78DA">
        <w:rPr>
          <w:rFonts w:ascii="Garamond" w:hAnsi="Garamond" w:cstheme="minorHAnsi"/>
          <w:sz w:val="22"/>
          <w:szCs w:val="22"/>
        </w:rPr>
        <w:t xml:space="preserve"> while the “additional comments” field allows payers </w:t>
      </w:r>
      <w:r w:rsidR="006A2212" w:rsidRPr="005C78DA">
        <w:rPr>
          <w:rFonts w:ascii="Garamond" w:hAnsi="Garamond" w:cstheme="minorHAnsi"/>
          <w:sz w:val="22"/>
          <w:szCs w:val="22"/>
        </w:rPr>
        <w:t xml:space="preserve">extra </w:t>
      </w:r>
      <w:r w:rsidRPr="005C78DA">
        <w:rPr>
          <w:rFonts w:ascii="Garamond" w:hAnsi="Garamond" w:cstheme="minorHAnsi"/>
          <w:sz w:val="22"/>
          <w:szCs w:val="22"/>
        </w:rPr>
        <w:t xml:space="preserve">space </w:t>
      </w:r>
      <w:r w:rsidR="00E04AAF" w:rsidRPr="005C78DA">
        <w:rPr>
          <w:rFonts w:ascii="Garamond" w:hAnsi="Garamond" w:cstheme="minorHAnsi"/>
          <w:sz w:val="22"/>
          <w:szCs w:val="22"/>
        </w:rPr>
        <w:t xml:space="preserve">for </w:t>
      </w:r>
      <w:r w:rsidRPr="005C78DA">
        <w:rPr>
          <w:rFonts w:ascii="Garamond" w:hAnsi="Garamond" w:cstheme="minorHAnsi"/>
          <w:sz w:val="22"/>
          <w:szCs w:val="22"/>
        </w:rPr>
        <w:t xml:space="preserve">explanatory information. For instance, if the payer’s reimbursement method differs by insurance category, the payer must note the standard </w:t>
      </w:r>
      <w:r w:rsidRPr="005C78DA">
        <w:rPr>
          <w:rFonts w:ascii="Garamond" w:hAnsi="Garamond" w:cstheme="minorHAnsi"/>
          <w:sz w:val="22"/>
          <w:szCs w:val="22"/>
        </w:rPr>
        <w:lastRenderedPageBreak/>
        <w:t>payment unit used for each insurance category.</w:t>
      </w:r>
      <w:r w:rsidR="00AB7EBF">
        <w:rPr>
          <w:rFonts w:ascii="Garamond" w:hAnsi="Garamond" w:cstheme="minorHAnsi"/>
          <w:sz w:val="22"/>
          <w:szCs w:val="22"/>
        </w:rPr>
        <w:t xml:space="preserve"> </w:t>
      </w:r>
      <w:r w:rsidRPr="005C78DA">
        <w:rPr>
          <w:rFonts w:ascii="Garamond" w:hAnsi="Garamond" w:cstheme="minorHAnsi"/>
          <w:sz w:val="22"/>
          <w:szCs w:val="22"/>
        </w:rPr>
        <w:t>The payment unit used must be uniform within each insurance category.</w:t>
      </w:r>
      <w:r w:rsidR="00331BD6">
        <w:rPr>
          <w:rFonts w:ascii="Garamond" w:hAnsi="Garamond" w:cstheme="minorHAnsi"/>
          <w:sz w:val="22"/>
          <w:szCs w:val="22"/>
        </w:rPr>
        <w:t xml:space="preserve"> Additionally, data submitters must acknowledge that the data reviews have been completed and that the </w:t>
      </w:r>
      <w:r w:rsidR="005F037A">
        <w:rPr>
          <w:rFonts w:ascii="Garamond" w:hAnsi="Garamond" w:cstheme="minorHAnsi"/>
          <w:sz w:val="22"/>
          <w:szCs w:val="22"/>
        </w:rPr>
        <w:t>data is correct.</w:t>
      </w:r>
    </w:p>
    <w:p w14:paraId="62C3ED3A" w14:textId="77777777" w:rsidR="00EA5275" w:rsidRPr="005C78DA" w:rsidRDefault="00EA5275" w:rsidP="00D94268">
      <w:pPr>
        <w:pStyle w:val="Default"/>
        <w:spacing w:line="276" w:lineRule="auto"/>
        <w:rPr>
          <w:rFonts w:ascii="Garamond" w:hAnsi="Garamond" w:cstheme="minorHAnsi"/>
          <w:sz w:val="22"/>
          <w:szCs w:val="22"/>
        </w:rPr>
      </w:pPr>
    </w:p>
    <w:p w14:paraId="1170A87C" w14:textId="77777777" w:rsidR="00EA5275" w:rsidRPr="005C78DA" w:rsidRDefault="00AB1EBF"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will submit </w:t>
      </w:r>
      <w:r w:rsidR="00956161" w:rsidRPr="005C78DA">
        <w:rPr>
          <w:rFonts w:ascii="Garamond" w:hAnsi="Garamond" w:cstheme="minorHAnsi"/>
          <w:sz w:val="22"/>
          <w:szCs w:val="22"/>
        </w:rPr>
        <w:t>RP</w:t>
      </w:r>
      <w:r w:rsidR="007D0D35" w:rsidRPr="005C78DA">
        <w:rPr>
          <w:rFonts w:ascii="Garamond" w:hAnsi="Garamond" w:cstheme="minorHAnsi"/>
          <w:sz w:val="22"/>
          <w:szCs w:val="22"/>
        </w:rPr>
        <w:t xml:space="preserve"> information </w:t>
      </w:r>
      <w:r w:rsidR="00EA5275" w:rsidRPr="005C78DA">
        <w:rPr>
          <w:rFonts w:ascii="Garamond" w:hAnsi="Garamond" w:cstheme="minorHAnsi"/>
          <w:sz w:val="22"/>
          <w:szCs w:val="22"/>
        </w:rPr>
        <w:t xml:space="preserve">in accordance with </w:t>
      </w:r>
      <w:r w:rsidR="007D0D35" w:rsidRPr="005C78DA">
        <w:rPr>
          <w:rFonts w:ascii="Garamond" w:hAnsi="Garamond" w:cstheme="minorHAnsi"/>
          <w:sz w:val="22"/>
          <w:szCs w:val="22"/>
        </w:rPr>
        <w:t xml:space="preserve">regulation </w:t>
      </w:r>
      <w:r w:rsidR="00B37DAA" w:rsidRPr="005C78DA">
        <w:rPr>
          <w:rFonts w:ascii="Garamond" w:hAnsi="Garamond" w:cstheme="minorHAnsi"/>
          <w:sz w:val="22"/>
          <w:szCs w:val="22"/>
        </w:rPr>
        <w:t>957</w:t>
      </w:r>
      <w:r w:rsidR="007D0D35" w:rsidRPr="005C78DA">
        <w:rPr>
          <w:rFonts w:ascii="Garamond" w:hAnsi="Garamond" w:cstheme="minorHAnsi"/>
          <w:sz w:val="22"/>
          <w:szCs w:val="22"/>
        </w:rPr>
        <w:t xml:space="preserve"> CMR 2.00</w:t>
      </w:r>
      <w:r w:rsidR="0022703E" w:rsidRPr="005C78DA">
        <w:rPr>
          <w:rFonts w:ascii="Garamond" w:hAnsi="Garamond" w:cstheme="minorHAnsi"/>
          <w:sz w:val="22"/>
          <w:szCs w:val="22"/>
        </w:rPr>
        <w:t>,</w:t>
      </w:r>
      <w:r w:rsidR="007D0D35" w:rsidRPr="005C78DA">
        <w:rPr>
          <w:rFonts w:ascii="Garamond" w:hAnsi="Garamond" w:cstheme="minorHAnsi"/>
          <w:sz w:val="22"/>
          <w:szCs w:val="22"/>
        </w:rPr>
        <w:t xml:space="preserve"> on </w:t>
      </w:r>
      <w:r w:rsidR="00EA5275" w:rsidRPr="005C78DA">
        <w:rPr>
          <w:rFonts w:ascii="Garamond" w:hAnsi="Garamond" w:cstheme="minorHAnsi"/>
          <w:sz w:val="22"/>
          <w:szCs w:val="22"/>
        </w:rPr>
        <w:t>the following schedule:</w:t>
      </w:r>
    </w:p>
    <w:p w14:paraId="29FC4B6E" w14:textId="77777777" w:rsidR="00EA5275" w:rsidRPr="005C78DA" w:rsidRDefault="00EA5275" w:rsidP="00D94268">
      <w:pPr>
        <w:pStyle w:val="Default"/>
        <w:spacing w:line="276" w:lineRule="auto"/>
        <w:rPr>
          <w:rFonts w:ascii="Garamond" w:hAnsi="Garamond" w:cstheme="minorHAnsi"/>
          <w:sz w:val="22"/>
          <w:szCs w:val="22"/>
        </w:rPr>
      </w:pPr>
    </w:p>
    <w:tbl>
      <w:tblPr>
        <w:tblW w:w="8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823"/>
      </w:tblGrid>
      <w:tr w:rsidR="001E3731" w:rsidRPr="00A55866" w14:paraId="7BA89384" w14:textId="77777777" w:rsidTr="09E1B708">
        <w:trPr>
          <w:trHeight w:val="440"/>
          <w:tblHeader/>
        </w:trPr>
        <w:tc>
          <w:tcPr>
            <w:tcW w:w="8513" w:type="dxa"/>
            <w:gridSpan w:val="2"/>
            <w:shd w:val="clear" w:color="auto" w:fill="BFBFBF" w:themeFill="background1" w:themeFillShade="BF"/>
            <w:vAlign w:val="center"/>
          </w:tcPr>
          <w:p w14:paraId="4EE67F25" w14:textId="44FFA548" w:rsidR="001E3731" w:rsidRPr="005C78DA" w:rsidRDefault="001E3731" w:rsidP="00D94268">
            <w:pPr>
              <w:spacing w:line="276" w:lineRule="auto"/>
              <w:jc w:val="center"/>
              <w:rPr>
                <w:rFonts w:ascii="Garamond" w:hAnsi="Garamond" w:cstheme="minorHAnsi"/>
                <w:b/>
                <w:sz w:val="22"/>
                <w:szCs w:val="22"/>
              </w:rPr>
            </w:pPr>
            <w:r w:rsidRPr="005C78DA">
              <w:rPr>
                <w:rFonts w:ascii="Garamond" w:hAnsi="Garamond" w:cstheme="minorHAnsi"/>
                <w:b/>
                <w:sz w:val="22"/>
                <w:szCs w:val="22"/>
              </w:rPr>
              <w:t>Relative Prices Filing Schedule</w:t>
            </w:r>
          </w:p>
        </w:tc>
      </w:tr>
      <w:tr w:rsidR="001E3731" w:rsidRPr="00A55866" w14:paraId="0CFF236D" w14:textId="77777777" w:rsidTr="09E1B708">
        <w:trPr>
          <w:trHeight w:val="440"/>
        </w:trPr>
        <w:tc>
          <w:tcPr>
            <w:tcW w:w="3690" w:type="dxa"/>
            <w:shd w:val="clear" w:color="auto" w:fill="auto"/>
            <w:vAlign w:val="center"/>
          </w:tcPr>
          <w:p w14:paraId="0D30306F" w14:textId="77777777" w:rsidR="001E3731" w:rsidRPr="005C78DA" w:rsidRDefault="001E3731" w:rsidP="00D94268">
            <w:pPr>
              <w:spacing w:line="276" w:lineRule="auto"/>
              <w:rPr>
                <w:rFonts w:ascii="Garamond" w:hAnsi="Garamond" w:cstheme="minorHAnsi"/>
                <w:b/>
                <w:sz w:val="22"/>
                <w:szCs w:val="22"/>
              </w:rPr>
            </w:pPr>
            <w:r w:rsidRPr="005C78DA">
              <w:rPr>
                <w:rFonts w:ascii="Garamond" w:hAnsi="Garamond" w:cstheme="minorHAnsi"/>
                <w:b/>
                <w:sz w:val="22"/>
                <w:szCs w:val="22"/>
              </w:rPr>
              <w:t>Date</w:t>
            </w:r>
          </w:p>
        </w:tc>
        <w:tc>
          <w:tcPr>
            <w:tcW w:w="4823" w:type="dxa"/>
            <w:shd w:val="clear" w:color="auto" w:fill="auto"/>
            <w:vAlign w:val="center"/>
          </w:tcPr>
          <w:p w14:paraId="0CBEC102" w14:textId="77777777" w:rsidR="001E3731" w:rsidRPr="005C78DA" w:rsidRDefault="001E3731" w:rsidP="00D94268">
            <w:pPr>
              <w:spacing w:line="276" w:lineRule="auto"/>
              <w:rPr>
                <w:rFonts w:ascii="Garamond" w:hAnsi="Garamond" w:cstheme="minorHAnsi"/>
                <w:b/>
                <w:sz w:val="22"/>
                <w:szCs w:val="22"/>
              </w:rPr>
            </w:pPr>
            <w:r w:rsidRPr="005C78DA">
              <w:rPr>
                <w:rFonts w:ascii="Garamond" w:hAnsi="Garamond" w:cstheme="minorHAnsi"/>
                <w:b/>
                <w:sz w:val="22"/>
                <w:szCs w:val="22"/>
              </w:rPr>
              <w:t>Files Due</w:t>
            </w:r>
          </w:p>
        </w:tc>
      </w:tr>
      <w:tr w:rsidR="00AA7BA0" w:rsidRPr="00A55866" w14:paraId="79936E71" w14:textId="77777777" w:rsidTr="09E1B708">
        <w:trPr>
          <w:trHeight w:val="440"/>
        </w:trPr>
        <w:tc>
          <w:tcPr>
            <w:tcW w:w="3690" w:type="dxa"/>
            <w:shd w:val="clear" w:color="auto" w:fill="auto"/>
            <w:vAlign w:val="center"/>
          </w:tcPr>
          <w:p w14:paraId="32FEBAD4" w14:textId="46DA0DC7" w:rsidR="00AA7BA0" w:rsidRPr="0060496D" w:rsidRDefault="00AC3C8D" w:rsidP="09E1B708">
            <w:pPr>
              <w:spacing w:line="276" w:lineRule="auto"/>
              <w:rPr>
                <w:rFonts w:ascii="Garamond" w:hAnsi="Garamond" w:cstheme="minorBidi"/>
                <w:sz w:val="22"/>
                <w:szCs w:val="22"/>
              </w:rPr>
            </w:pPr>
            <w:r w:rsidRPr="09E1B708">
              <w:rPr>
                <w:rFonts w:ascii="Garamond" w:hAnsi="Garamond" w:cstheme="minorBidi"/>
                <w:sz w:val="22"/>
                <w:szCs w:val="22"/>
              </w:rPr>
              <w:t>Friday</w:t>
            </w:r>
            <w:r w:rsidR="18BE1C97" w:rsidRPr="09E1B708">
              <w:rPr>
                <w:rFonts w:ascii="Garamond" w:hAnsi="Garamond" w:cstheme="minorBidi"/>
                <w:sz w:val="22"/>
                <w:szCs w:val="22"/>
              </w:rPr>
              <w:t xml:space="preserve">, </w:t>
            </w:r>
            <w:r w:rsidR="143EE804" w:rsidRPr="09E1B708">
              <w:rPr>
                <w:rFonts w:ascii="Garamond" w:hAnsi="Garamond" w:cstheme="minorBidi"/>
                <w:sz w:val="22"/>
                <w:szCs w:val="22"/>
              </w:rPr>
              <w:t xml:space="preserve">October </w:t>
            </w:r>
            <w:r w:rsidR="70AC202E" w:rsidRPr="09E1B708">
              <w:rPr>
                <w:rFonts w:ascii="Garamond" w:hAnsi="Garamond" w:cstheme="minorBidi"/>
                <w:sz w:val="22"/>
                <w:szCs w:val="22"/>
              </w:rPr>
              <w:t>4</w:t>
            </w:r>
            <w:r w:rsidR="18BE1C97" w:rsidRPr="09E1B708">
              <w:rPr>
                <w:rFonts w:ascii="Garamond" w:hAnsi="Garamond" w:cstheme="minorBidi"/>
                <w:sz w:val="22"/>
                <w:szCs w:val="22"/>
              </w:rPr>
              <w:t xml:space="preserve">, </w:t>
            </w:r>
            <w:r w:rsidR="00CB75CA" w:rsidRPr="09E1B708">
              <w:rPr>
                <w:rFonts w:ascii="Garamond" w:hAnsi="Garamond" w:cstheme="minorBidi"/>
                <w:sz w:val="22"/>
                <w:szCs w:val="22"/>
              </w:rPr>
              <w:t>202</w:t>
            </w:r>
            <w:r w:rsidR="25885470" w:rsidRPr="09E1B708">
              <w:rPr>
                <w:rFonts w:ascii="Garamond" w:hAnsi="Garamond" w:cstheme="minorBidi"/>
                <w:sz w:val="22"/>
                <w:szCs w:val="22"/>
              </w:rPr>
              <w:t>4</w:t>
            </w:r>
          </w:p>
        </w:tc>
        <w:tc>
          <w:tcPr>
            <w:tcW w:w="4823" w:type="dxa"/>
            <w:shd w:val="clear" w:color="auto" w:fill="auto"/>
            <w:vAlign w:val="center"/>
          </w:tcPr>
          <w:p w14:paraId="715233A0" w14:textId="006E848A" w:rsidR="00AA7BA0" w:rsidRPr="00D94268" w:rsidRDefault="00AA7BA0" w:rsidP="00C661A9">
            <w:pPr>
              <w:spacing w:line="276" w:lineRule="auto"/>
              <w:rPr>
                <w:rFonts w:ascii="Garamond" w:hAnsi="Garamond" w:cstheme="minorHAnsi"/>
                <w:sz w:val="22"/>
                <w:szCs w:val="22"/>
              </w:rPr>
            </w:pPr>
            <w:r>
              <w:rPr>
                <w:rFonts w:ascii="Garamond" w:hAnsi="Garamond" w:cstheme="minorHAnsi"/>
                <w:sz w:val="22"/>
                <w:szCs w:val="22"/>
              </w:rPr>
              <w:t>R</w:t>
            </w:r>
            <w:r w:rsidRPr="00D94268">
              <w:rPr>
                <w:rFonts w:ascii="Garamond" w:hAnsi="Garamond" w:cstheme="minorHAnsi"/>
                <w:sz w:val="22"/>
                <w:szCs w:val="22"/>
              </w:rPr>
              <w:t xml:space="preserve">equested additions to the uniform </w:t>
            </w:r>
            <w:r w:rsidR="00647693">
              <w:rPr>
                <w:rFonts w:ascii="Garamond" w:hAnsi="Garamond" w:cstheme="minorHAnsi"/>
                <w:sz w:val="22"/>
                <w:szCs w:val="22"/>
              </w:rPr>
              <w:t xml:space="preserve">relative price </w:t>
            </w:r>
            <w:r w:rsidRPr="00D94268">
              <w:rPr>
                <w:rFonts w:ascii="Garamond" w:hAnsi="Garamond" w:cstheme="minorHAnsi"/>
                <w:sz w:val="22"/>
                <w:szCs w:val="22"/>
              </w:rPr>
              <w:t>provider list</w:t>
            </w:r>
          </w:p>
        </w:tc>
      </w:tr>
      <w:tr w:rsidR="001E3731" w:rsidRPr="00A55866" w14:paraId="2A7EB8E8" w14:textId="77777777" w:rsidTr="09E1B708">
        <w:trPr>
          <w:trHeight w:val="1070"/>
        </w:trPr>
        <w:tc>
          <w:tcPr>
            <w:tcW w:w="3690" w:type="dxa"/>
          </w:tcPr>
          <w:p w14:paraId="5C32C43C" w14:textId="279B75F0" w:rsidR="001E3731" w:rsidRDefault="38BB9F3F" w:rsidP="09E1B708">
            <w:pPr>
              <w:spacing w:line="276" w:lineRule="auto"/>
              <w:rPr>
                <w:rFonts w:ascii="Garamond" w:hAnsi="Garamond" w:cstheme="minorBidi"/>
                <w:sz w:val="22"/>
                <w:szCs w:val="22"/>
              </w:rPr>
            </w:pPr>
            <w:r w:rsidRPr="09E1B708">
              <w:rPr>
                <w:rFonts w:ascii="Garamond" w:hAnsi="Garamond" w:cstheme="minorBidi"/>
                <w:sz w:val="22"/>
                <w:szCs w:val="22"/>
              </w:rPr>
              <w:t>Friday</w:t>
            </w:r>
            <w:r w:rsidR="334F3857" w:rsidRPr="09E1B708">
              <w:rPr>
                <w:rFonts w:ascii="Garamond" w:hAnsi="Garamond" w:cstheme="minorBidi"/>
                <w:sz w:val="22"/>
                <w:szCs w:val="22"/>
              </w:rPr>
              <w:t xml:space="preserve">, </w:t>
            </w:r>
            <w:r w:rsidR="41F9B75B" w:rsidRPr="09E1B708">
              <w:rPr>
                <w:rFonts w:ascii="Garamond" w:hAnsi="Garamond" w:cstheme="minorBidi"/>
                <w:sz w:val="22"/>
                <w:szCs w:val="22"/>
              </w:rPr>
              <w:t xml:space="preserve">October </w:t>
            </w:r>
            <w:r w:rsidR="06D6FEA0" w:rsidRPr="09E1B708">
              <w:rPr>
                <w:rFonts w:ascii="Garamond" w:hAnsi="Garamond" w:cstheme="minorBidi"/>
                <w:sz w:val="22"/>
                <w:szCs w:val="22"/>
              </w:rPr>
              <w:t>1</w:t>
            </w:r>
            <w:r w:rsidR="3D1DDB01" w:rsidRPr="09E1B708">
              <w:rPr>
                <w:rFonts w:ascii="Garamond" w:hAnsi="Garamond" w:cstheme="minorBidi"/>
                <w:sz w:val="22"/>
                <w:szCs w:val="22"/>
              </w:rPr>
              <w:t>8</w:t>
            </w:r>
            <w:r w:rsidRPr="09E1B708">
              <w:rPr>
                <w:rFonts w:ascii="Garamond" w:hAnsi="Garamond" w:cstheme="minorBidi"/>
                <w:sz w:val="22"/>
                <w:szCs w:val="22"/>
              </w:rPr>
              <w:t>,</w:t>
            </w:r>
            <w:r w:rsidR="334F3857" w:rsidRPr="09E1B708">
              <w:rPr>
                <w:rFonts w:ascii="Garamond" w:hAnsi="Garamond" w:cstheme="minorBidi"/>
                <w:sz w:val="22"/>
                <w:szCs w:val="22"/>
              </w:rPr>
              <w:t xml:space="preserve"> </w:t>
            </w:r>
            <w:r w:rsidR="00CB75CA" w:rsidRPr="09E1B708">
              <w:rPr>
                <w:rFonts w:ascii="Garamond" w:hAnsi="Garamond" w:cstheme="minorBidi"/>
                <w:sz w:val="22"/>
                <w:szCs w:val="22"/>
              </w:rPr>
              <w:t>202</w:t>
            </w:r>
            <w:r w:rsidR="7D35EDCF" w:rsidRPr="09E1B708">
              <w:rPr>
                <w:rFonts w:ascii="Garamond" w:hAnsi="Garamond" w:cstheme="minorBidi"/>
                <w:sz w:val="22"/>
                <w:szCs w:val="22"/>
              </w:rPr>
              <w:t>4</w:t>
            </w:r>
          </w:p>
          <w:p w14:paraId="73908310" w14:textId="4FA0B475" w:rsidR="006A458E" w:rsidRDefault="38BB9F3F" w:rsidP="09E1B708">
            <w:pPr>
              <w:spacing w:line="276" w:lineRule="auto"/>
              <w:rPr>
                <w:rFonts w:ascii="Garamond" w:hAnsi="Garamond" w:cstheme="minorBidi"/>
                <w:sz w:val="22"/>
                <w:szCs w:val="22"/>
              </w:rPr>
            </w:pPr>
            <w:r w:rsidRPr="09E1B708">
              <w:rPr>
                <w:rFonts w:ascii="Garamond" w:hAnsi="Garamond" w:cstheme="minorBidi"/>
                <w:sz w:val="22"/>
                <w:szCs w:val="22"/>
              </w:rPr>
              <w:t xml:space="preserve">Friday, </w:t>
            </w:r>
            <w:r w:rsidR="0DEB2E7D" w:rsidRPr="09E1B708">
              <w:rPr>
                <w:rFonts w:ascii="Garamond" w:hAnsi="Garamond" w:cstheme="minorBidi"/>
                <w:sz w:val="22"/>
                <w:szCs w:val="22"/>
              </w:rPr>
              <w:t xml:space="preserve">October </w:t>
            </w:r>
            <w:r w:rsidR="4B6D35E6" w:rsidRPr="09E1B708">
              <w:rPr>
                <w:rFonts w:ascii="Garamond" w:hAnsi="Garamond" w:cstheme="minorBidi"/>
                <w:sz w:val="22"/>
                <w:szCs w:val="22"/>
              </w:rPr>
              <w:t>1</w:t>
            </w:r>
            <w:r w:rsidR="67A7AACC" w:rsidRPr="09E1B708">
              <w:rPr>
                <w:rFonts w:ascii="Garamond" w:hAnsi="Garamond" w:cstheme="minorBidi"/>
                <w:sz w:val="22"/>
                <w:szCs w:val="22"/>
              </w:rPr>
              <w:t>8</w:t>
            </w:r>
            <w:r w:rsidRPr="09E1B708">
              <w:rPr>
                <w:rFonts w:ascii="Garamond" w:hAnsi="Garamond" w:cstheme="minorBidi"/>
                <w:sz w:val="22"/>
                <w:szCs w:val="22"/>
              </w:rPr>
              <w:t>, 202</w:t>
            </w:r>
            <w:r w:rsidR="59C20F61" w:rsidRPr="09E1B708">
              <w:rPr>
                <w:rFonts w:ascii="Garamond" w:hAnsi="Garamond" w:cstheme="minorBidi"/>
                <w:sz w:val="22"/>
                <w:szCs w:val="22"/>
              </w:rPr>
              <w:t>4</w:t>
            </w:r>
          </w:p>
          <w:p w14:paraId="472AF531" w14:textId="3163A100" w:rsidR="00965C2C" w:rsidRDefault="38BB9F3F" w:rsidP="09E1B708">
            <w:pPr>
              <w:spacing w:line="276" w:lineRule="auto"/>
              <w:rPr>
                <w:rFonts w:ascii="Garamond" w:hAnsi="Garamond" w:cstheme="minorBidi"/>
                <w:sz w:val="22"/>
                <w:szCs w:val="22"/>
              </w:rPr>
            </w:pPr>
            <w:r w:rsidRPr="09E1B708">
              <w:rPr>
                <w:rFonts w:ascii="Garamond" w:hAnsi="Garamond" w:cstheme="minorBidi"/>
                <w:sz w:val="22"/>
                <w:szCs w:val="22"/>
              </w:rPr>
              <w:t xml:space="preserve">Friday, </w:t>
            </w:r>
            <w:r w:rsidR="75F98C67" w:rsidRPr="09E1B708">
              <w:rPr>
                <w:rFonts w:ascii="Garamond" w:hAnsi="Garamond" w:cstheme="minorBidi"/>
                <w:sz w:val="22"/>
                <w:szCs w:val="22"/>
              </w:rPr>
              <w:t xml:space="preserve">November </w:t>
            </w:r>
            <w:r w:rsidR="1A22FEBE" w:rsidRPr="09E1B708">
              <w:rPr>
                <w:rFonts w:ascii="Garamond" w:hAnsi="Garamond" w:cstheme="minorBidi"/>
                <w:sz w:val="22"/>
                <w:szCs w:val="22"/>
              </w:rPr>
              <w:t>1</w:t>
            </w:r>
            <w:r w:rsidR="08398F2F" w:rsidRPr="09E1B708">
              <w:rPr>
                <w:rFonts w:ascii="Garamond" w:hAnsi="Garamond" w:cstheme="minorBidi"/>
                <w:sz w:val="22"/>
                <w:szCs w:val="22"/>
              </w:rPr>
              <w:t xml:space="preserve">, </w:t>
            </w:r>
            <w:r w:rsidR="00CB75CA" w:rsidRPr="09E1B708">
              <w:rPr>
                <w:rFonts w:ascii="Garamond" w:hAnsi="Garamond" w:cstheme="minorBidi"/>
                <w:sz w:val="22"/>
                <w:szCs w:val="22"/>
              </w:rPr>
              <w:t>202</w:t>
            </w:r>
            <w:r w:rsidR="6035478B" w:rsidRPr="09E1B708">
              <w:rPr>
                <w:rFonts w:ascii="Garamond" w:hAnsi="Garamond" w:cstheme="minorBidi"/>
                <w:sz w:val="22"/>
                <w:szCs w:val="22"/>
              </w:rPr>
              <w:t>4</w:t>
            </w:r>
          </w:p>
          <w:p w14:paraId="2800E5DB" w14:textId="56516552" w:rsidR="009C7C2D" w:rsidRPr="005C78DA" w:rsidRDefault="61E93630" w:rsidP="09E1B708">
            <w:pPr>
              <w:spacing w:line="276" w:lineRule="auto"/>
              <w:rPr>
                <w:rFonts w:ascii="Garamond" w:hAnsi="Garamond" w:cstheme="minorBidi"/>
                <w:sz w:val="22"/>
                <w:szCs w:val="22"/>
              </w:rPr>
            </w:pPr>
            <w:r w:rsidRPr="09E1B708">
              <w:rPr>
                <w:rFonts w:ascii="Garamond" w:hAnsi="Garamond" w:cstheme="minorBidi"/>
                <w:sz w:val="22"/>
                <w:szCs w:val="22"/>
              </w:rPr>
              <w:t xml:space="preserve">Friday, </w:t>
            </w:r>
            <w:r w:rsidR="77ED1B48" w:rsidRPr="09E1B708">
              <w:rPr>
                <w:rFonts w:ascii="Garamond" w:hAnsi="Garamond" w:cstheme="minorBidi"/>
                <w:sz w:val="22"/>
                <w:szCs w:val="22"/>
              </w:rPr>
              <w:t>November</w:t>
            </w:r>
            <w:r w:rsidR="2433FD0A" w:rsidRPr="09E1B708">
              <w:rPr>
                <w:rFonts w:ascii="Garamond" w:hAnsi="Garamond" w:cstheme="minorBidi"/>
                <w:sz w:val="22"/>
                <w:szCs w:val="22"/>
              </w:rPr>
              <w:t xml:space="preserve"> </w:t>
            </w:r>
            <w:r w:rsidRPr="09E1B708">
              <w:rPr>
                <w:rFonts w:ascii="Garamond" w:hAnsi="Garamond" w:cstheme="minorBidi"/>
                <w:sz w:val="22"/>
                <w:szCs w:val="22"/>
              </w:rPr>
              <w:t>1</w:t>
            </w:r>
            <w:r w:rsidR="4035DD0B" w:rsidRPr="09E1B708">
              <w:rPr>
                <w:rFonts w:ascii="Garamond" w:hAnsi="Garamond" w:cstheme="minorBidi"/>
                <w:sz w:val="22"/>
                <w:szCs w:val="22"/>
              </w:rPr>
              <w:t>5</w:t>
            </w:r>
            <w:r w:rsidR="094D0B89" w:rsidRPr="09E1B708">
              <w:rPr>
                <w:rFonts w:ascii="Garamond" w:hAnsi="Garamond" w:cstheme="minorBidi"/>
                <w:sz w:val="22"/>
                <w:szCs w:val="22"/>
              </w:rPr>
              <w:t xml:space="preserve">, </w:t>
            </w:r>
            <w:r w:rsidR="062CFDCD" w:rsidRPr="09E1B708">
              <w:rPr>
                <w:rFonts w:ascii="Garamond" w:hAnsi="Garamond" w:cstheme="minorBidi"/>
                <w:sz w:val="22"/>
                <w:szCs w:val="22"/>
              </w:rPr>
              <w:t>202</w:t>
            </w:r>
            <w:r w:rsidR="35436503" w:rsidRPr="09E1B708">
              <w:rPr>
                <w:rFonts w:ascii="Garamond" w:hAnsi="Garamond" w:cstheme="minorBidi"/>
                <w:sz w:val="22"/>
                <w:szCs w:val="22"/>
              </w:rPr>
              <w:t>4</w:t>
            </w:r>
          </w:p>
        </w:tc>
        <w:tc>
          <w:tcPr>
            <w:tcW w:w="4823" w:type="dxa"/>
            <w:vAlign w:val="center"/>
          </w:tcPr>
          <w:p w14:paraId="5BB64DB6" w14:textId="6BC72D87" w:rsidR="001E3731" w:rsidRDefault="00AC3C8D">
            <w:pPr>
              <w:spacing w:line="276" w:lineRule="auto"/>
              <w:rPr>
                <w:rFonts w:ascii="Garamond" w:hAnsi="Garamond" w:cstheme="minorHAnsi"/>
                <w:sz w:val="22"/>
                <w:szCs w:val="22"/>
              </w:rPr>
            </w:pPr>
            <w:r w:rsidRPr="005C78DA">
              <w:rPr>
                <w:rFonts w:ascii="Garamond" w:hAnsi="Garamond" w:cstheme="minorHAnsi"/>
                <w:sz w:val="22"/>
                <w:szCs w:val="22"/>
              </w:rPr>
              <w:t>CY</w:t>
            </w:r>
            <w:r w:rsidR="00331BD6">
              <w:rPr>
                <w:rFonts w:ascii="Garamond" w:hAnsi="Garamond" w:cstheme="minorHAnsi"/>
                <w:sz w:val="22"/>
                <w:szCs w:val="22"/>
              </w:rPr>
              <w:t xml:space="preserve"> </w:t>
            </w:r>
            <w:r w:rsidR="002A4A85">
              <w:rPr>
                <w:rFonts w:ascii="Garamond" w:hAnsi="Garamond" w:cstheme="minorHAnsi"/>
                <w:sz w:val="22"/>
                <w:szCs w:val="22"/>
              </w:rPr>
              <w:t>2</w:t>
            </w:r>
            <w:r w:rsidR="003F6170">
              <w:rPr>
                <w:rFonts w:ascii="Garamond" w:hAnsi="Garamond" w:cstheme="minorHAnsi"/>
                <w:sz w:val="22"/>
                <w:szCs w:val="22"/>
              </w:rPr>
              <w:t>3</w:t>
            </w:r>
            <w:r w:rsidR="002A4A85" w:rsidRPr="005C78DA">
              <w:rPr>
                <w:rFonts w:ascii="Garamond" w:hAnsi="Garamond" w:cstheme="minorHAnsi"/>
                <w:sz w:val="22"/>
                <w:szCs w:val="22"/>
              </w:rPr>
              <w:t xml:space="preserve"> </w:t>
            </w:r>
            <w:r w:rsidR="001E3731" w:rsidRPr="005C78DA">
              <w:rPr>
                <w:rFonts w:ascii="Garamond" w:hAnsi="Garamond" w:cstheme="minorHAnsi"/>
                <w:sz w:val="22"/>
                <w:szCs w:val="22"/>
              </w:rPr>
              <w:t>Hospital Relative Prices</w:t>
            </w:r>
          </w:p>
          <w:p w14:paraId="7C3543C2" w14:textId="22755E5E" w:rsidR="00F06281" w:rsidRDefault="00F06281">
            <w:pPr>
              <w:spacing w:line="276" w:lineRule="auto"/>
              <w:rPr>
                <w:rFonts w:ascii="Garamond" w:hAnsi="Garamond" w:cstheme="minorHAnsi"/>
                <w:sz w:val="22"/>
                <w:szCs w:val="22"/>
              </w:rPr>
            </w:pPr>
            <w:r>
              <w:rPr>
                <w:rFonts w:ascii="Garamond" w:hAnsi="Garamond" w:cstheme="minorHAnsi"/>
                <w:sz w:val="22"/>
                <w:szCs w:val="22"/>
              </w:rPr>
              <w:t>Multiplier Calculation Summary</w:t>
            </w:r>
          </w:p>
          <w:p w14:paraId="2626376C" w14:textId="22D6AE99" w:rsidR="0000045C" w:rsidRDefault="0000045C">
            <w:pPr>
              <w:spacing w:line="276" w:lineRule="auto"/>
              <w:rPr>
                <w:rFonts w:ascii="Garamond" w:hAnsi="Garamond" w:cstheme="minorHAnsi"/>
                <w:sz w:val="22"/>
                <w:szCs w:val="22"/>
              </w:rPr>
            </w:pPr>
            <w:r>
              <w:rPr>
                <w:rFonts w:ascii="Garamond" w:hAnsi="Garamond" w:cstheme="minorHAnsi"/>
                <w:sz w:val="22"/>
                <w:szCs w:val="22"/>
              </w:rPr>
              <w:t xml:space="preserve">CY </w:t>
            </w:r>
            <w:r w:rsidR="002A4A85">
              <w:rPr>
                <w:rFonts w:ascii="Garamond" w:hAnsi="Garamond" w:cstheme="minorHAnsi"/>
                <w:sz w:val="22"/>
                <w:szCs w:val="22"/>
              </w:rPr>
              <w:t>2</w:t>
            </w:r>
            <w:r w:rsidR="003F6170">
              <w:rPr>
                <w:rFonts w:ascii="Garamond" w:hAnsi="Garamond" w:cstheme="minorHAnsi"/>
                <w:sz w:val="22"/>
                <w:szCs w:val="22"/>
              </w:rPr>
              <w:t>3</w:t>
            </w:r>
            <w:r w:rsidR="002A4A85">
              <w:rPr>
                <w:rFonts w:ascii="Garamond" w:hAnsi="Garamond" w:cstheme="minorHAnsi"/>
                <w:sz w:val="22"/>
                <w:szCs w:val="22"/>
              </w:rPr>
              <w:t xml:space="preserve"> </w:t>
            </w:r>
            <w:r>
              <w:rPr>
                <w:rFonts w:ascii="Garamond" w:hAnsi="Garamond" w:cstheme="minorHAnsi"/>
                <w:sz w:val="22"/>
                <w:szCs w:val="22"/>
              </w:rPr>
              <w:t>Physician Group Relative Prices</w:t>
            </w:r>
          </w:p>
          <w:p w14:paraId="457EBF53" w14:textId="711E103E" w:rsidR="001145BB" w:rsidRPr="005C78DA" w:rsidRDefault="00331BD6">
            <w:pPr>
              <w:spacing w:line="276" w:lineRule="auto"/>
              <w:rPr>
                <w:rFonts w:ascii="Garamond" w:hAnsi="Garamond" w:cstheme="minorHAnsi"/>
                <w:sz w:val="22"/>
                <w:szCs w:val="22"/>
              </w:rPr>
            </w:pPr>
            <w:r>
              <w:rPr>
                <w:rFonts w:ascii="Garamond" w:hAnsi="Garamond" w:cstheme="minorHAnsi"/>
                <w:sz w:val="22"/>
                <w:szCs w:val="22"/>
              </w:rPr>
              <w:t xml:space="preserve">CY </w:t>
            </w:r>
            <w:r w:rsidR="002A4A85">
              <w:rPr>
                <w:rFonts w:ascii="Garamond" w:hAnsi="Garamond" w:cstheme="minorHAnsi"/>
                <w:sz w:val="22"/>
                <w:szCs w:val="22"/>
              </w:rPr>
              <w:t>2</w:t>
            </w:r>
            <w:r w:rsidR="003F6170">
              <w:rPr>
                <w:rFonts w:ascii="Garamond" w:hAnsi="Garamond" w:cstheme="minorHAnsi"/>
                <w:sz w:val="22"/>
                <w:szCs w:val="22"/>
              </w:rPr>
              <w:t>3</w:t>
            </w:r>
            <w:r w:rsidR="002A4A85">
              <w:rPr>
                <w:rFonts w:ascii="Garamond" w:hAnsi="Garamond" w:cstheme="minorHAnsi"/>
                <w:sz w:val="22"/>
                <w:szCs w:val="22"/>
              </w:rPr>
              <w:t xml:space="preserve"> </w:t>
            </w:r>
            <w:r>
              <w:rPr>
                <w:rFonts w:ascii="Garamond" w:hAnsi="Garamond" w:cstheme="minorHAnsi"/>
                <w:sz w:val="22"/>
                <w:szCs w:val="22"/>
              </w:rPr>
              <w:t>Other Provider Relative Prices</w:t>
            </w:r>
          </w:p>
        </w:tc>
      </w:tr>
    </w:tbl>
    <w:p w14:paraId="7899A59B" w14:textId="77777777" w:rsidR="00127896" w:rsidRPr="005C78DA" w:rsidRDefault="00127896" w:rsidP="00D94268">
      <w:pPr>
        <w:pStyle w:val="Default"/>
        <w:spacing w:line="276" w:lineRule="auto"/>
        <w:rPr>
          <w:rFonts w:ascii="Garamond" w:hAnsi="Garamond" w:cstheme="minorHAnsi"/>
          <w:sz w:val="22"/>
          <w:szCs w:val="22"/>
        </w:rPr>
      </w:pPr>
    </w:p>
    <w:p w14:paraId="39732704" w14:textId="514BCFBB" w:rsidR="00BD3DAE" w:rsidRDefault="0097119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Upon receipt of a payer’s </w:t>
      </w:r>
      <w:r w:rsidR="00E04AAF" w:rsidRPr="005C78DA">
        <w:rPr>
          <w:rFonts w:ascii="Garamond" w:hAnsi="Garamond" w:cstheme="minorHAnsi"/>
          <w:sz w:val="22"/>
          <w:szCs w:val="22"/>
        </w:rPr>
        <w:t>RP</w:t>
      </w:r>
      <w:r w:rsidRPr="005C78DA">
        <w:rPr>
          <w:rFonts w:ascii="Garamond" w:hAnsi="Garamond" w:cstheme="minorHAnsi"/>
          <w:sz w:val="22"/>
          <w:szCs w:val="22"/>
        </w:rPr>
        <w:t xml:space="preserve"> data</w:t>
      </w:r>
      <w:r w:rsidR="00341D37" w:rsidRPr="005C78DA">
        <w:rPr>
          <w:rFonts w:ascii="Garamond" w:hAnsi="Garamond" w:cstheme="minorHAnsi"/>
          <w:sz w:val="22"/>
          <w:szCs w:val="22"/>
        </w:rPr>
        <w:t xml:space="preserve"> file</w:t>
      </w:r>
      <w:r w:rsidRPr="005C78DA">
        <w:rPr>
          <w:rFonts w:ascii="Garamond" w:hAnsi="Garamond" w:cstheme="minorHAnsi"/>
          <w:sz w:val="22"/>
          <w:szCs w:val="22"/>
        </w:rPr>
        <w:t xml:space="preserve">, </w:t>
      </w:r>
      <w:r w:rsidR="00AC3C8D">
        <w:rPr>
          <w:rFonts w:ascii="Garamond" w:hAnsi="Garamond" w:cstheme="minorHAnsi"/>
          <w:sz w:val="22"/>
          <w:szCs w:val="22"/>
        </w:rPr>
        <w:t>CHIA will review the data file and provide a summary report back to the payer</w:t>
      </w:r>
      <w:r w:rsidRPr="005C78DA">
        <w:rPr>
          <w:rFonts w:ascii="Garamond" w:hAnsi="Garamond" w:cstheme="minorHAnsi"/>
          <w:sz w:val="22"/>
          <w:szCs w:val="22"/>
        </w:rPr>
        <w:t>.</w:t>
      </w:r>
      <w:r w:rsidR="00AB7EBF">
        <w:rPr>
          <w:rFonts w:ascii="Garamond" w:hAnsi="Garamond" w:cstheme="minorHAnsi"/>
          <w:sz w:val="22"/>
          <w:szCs w:val="22"/>
        </w:rPr>
        <w:t xml:space="preserve"> </w:t>
      </w:r>
      <w:r w:rsidR="00356E4C">
        <w:rPr>
          <w:rFonts w:ascii="Garamond" w:hAnsi="Garamond" w:cstheme="minorHAnsi"/>
          <w:sz w:val="22"/>
          <w:szCs w:val="22"/>
        </w:rPr>
        <w:t>After analyzing the submission for data quality</w:t>
      </w:r>
      <w:r w:rsidR="00512B79">
        <w:rPr>
          <w:rFonts w:ascii="Garamond" w:hAnsi="Garamond" w:cstheme="minorHAnsi"/>
          <w:sz w:val="22"/>
          <w:szCs w:val="22"/>
        </w:rPr>
        <w:t xml:space="preserve">, CHIA will provide another report and a verification form to the payers. </w:t>
      </w:r>
      <w:r w:rsidRPr="005C78DA">
        <w:rPr>
          <w:rFonts w:ascii="Garamond" w:hAnsi="Garamond" w:cstheme="minorHAnsi"/>
          <w:sz w:val="22"/>
          <w:szCs w:val="22"/>
        </w:rPr>
        <w:t xml:space="preserve">After reviewing this report, </w:t>
      </w:r>
      <w:r w:rsidR="001E52A6" w:rsidRPr="005C78DA">
        <w:rPr>
          <w:rFonts w:ascii="Garamond" w:hAnsi="Garamond" w:cstheme="minorHAnsi"/>
          <w:sz w:val="22"/>
          <w:szCs w:val="22"/>
        </w:rPr>
        <w:t xml:space="preserve">a </w:t>
      </w:r>
      <w:r w:rsidRPr="005C78DA">
        <w:rPr>
          <w:rFonts w:ascii="Garamond" w:hAnsi="Garamond" w:cstheme="minorHAnsi"/>
          <w:sz w:val="22"/>
          <w:szCs w:val="22"/>
        </w:rPr>
        <w:t>p</w:t>
      </w:r>
      <w:r w:rsidR="001E52A6" w:rsidRPr="005C78DA">
        <w:rPr>
          <w:rFonts w:ascii="Garamond" w:hAnsi="Garamond" w:cstheme="minorHAnsi"/>
          <w:sz w:val="22"/>
          <w:szCs w:val="22"/>
        </w:rPr>
        <w:t>ayer’s Chief Financial Officer or equivalent</w:t>
      </w:r>
      <w:r w:rsidRPr="005C78DA">
        <w:rPr>
          <w:rFonts w:ascii="Garamond" w:hAnsi="Garamond" w:cstheme="minorHAnsi"/>
          <w:sz w:val="22"/>
          <w:szCs w:val="22"/>
        </w:rPr>
        <w:t xml:space="preserve"> must sign and return the data verification statement within five business days.</w:t>
      </w:r>
      <w:r w:rsidR="002F3166" w:rsidRPr="005C78DA">
        <w:rPr>
          <w:rFonts w:ascii="Garamond" w:hAnsi="Garamond" w:cstheme="minorHAnsi"/>
          <w:sz w:val="22"/>
          <w:szCs w:val="22"/>
        </w:rPr>
        <w:t xml:space="preserve"> A payer’s filing is not complete until the data verification statement has been received by the </w:t>
      </w:r>
      <w:r w:rsidR="00B37DAA" w:rsidRPr="005C78DA">
        <w:rPr>
          <w:rFonts w:ascii="Garamond" w:hAnsi="Garamond" w:cstheme="minorHAnsi"/>
          <w:sz w:val="22"/>
          <w:szCs w:val="22"/>
        </w:rPr>
        <w:t>Center</w:t>
      </w:r>
      <w:r w:rsidR="002F3166" w:rsidRPr="005C78DA">
        <w:rPr>
          <w:rFonts w:ascii="Garamond" w:hAnsi="Garamond" w:cstheme="minorHAnsi"/>
          <w:sz w:val="22"/>
          <w:szCs w:val="22"/>
        </w:rPr>
        <w:t>.</w:t>
      </w:r>
    </w:p>
    <w:p w14:paraId="11AC9A19" w14:textId="77777777" w:rsidR="0088696A" w:rsidRDefault="0088696A" w:rsidP="00D94268">
      <w:pPr>
        <w:pStyle w:val="Default"/>
        <w:spacing w:line="276" w:lineRule="auto"/>
        <w:rPr>
          <w:rFonts w:ascii="Garamond" w:hAnsi="Garamond" w:cstheme="minorHAnsi"/>
          <w:sz w:val="22"/>
          <w:szCs w:val="22"/>
        </w:rPr>
      </w:pPr>
    </w:p>
    <w:p w14:paraId="25A07C2A" w14:textId="5B3F9FFE" w:rsidR="00317493" w:rsidRPr="005C78DA" w:rsidRDefault="005F7408" w:rsidP="005F7408">
      <w:pPr>
        <w:pStyle w:val="Default"/>
        <w:outlineLvl w:val="0"/>
        <w:rPr>
          <w:rFonts w:ascii="Garamond" w:hAnsi="Garamond" w:cstheme="minorHAnsi"/>
          <w:b/>
          <w:sz w:val="22"/>
          <w:szCs w:val="22"/>
        </w:rPr>
      </w:pPr>
      <w:bookmarkStart w:id="3" w:name="_Toc112161027"/>
      <w:r>
        <w:rPr>
          <w:rFonts w:ascii="Garamond" w:hAnsi="Garamond" w:cstheme="minorHAnsi"/>
          <w:b/>
          <w:sz w:val="22"/>
          <w:szCs w:val="22"/>
        </w:rPr>
        <w:t>4</w:t>
      </w:r>
      <w:r>
        <w:rPr>
          <w:rFonts w:ascii="Garamond" w:hAnsi="Garamond" w:cstheme="minorHAnsi"/>
          <w:sz w:val="22"/>
          <w:szCs w:val="22"/>
        </w:rPr>
        <w:t>.</w:t>
      </w:r>
      <w:r>
        <w:rPr>
          <w:rFonts w:ascii="Garamond" w:hAnsi="Garamond" w:cstheme="minorHAnsi"/>
          <w:sz w:val="22"/>
          <w:szCs w:val="22"/>
        </w:rPr>
        <w:tab/>
      </w:r>
      <w:r w:rsidR="00AB1EBF" w:rsidRPr="005C78DA">
        <w:rPr>
          <w:rFonts w:ascii="Garamond" w:hAnsi="Garamond" w:cstheme="minorHAnsi"/>
          <w:b/>
          <w:sz w:val="22"/>
          <w:szCs w:val="22"/>
        </w:rPr>
        <w:t>Identification of Providers</w:t>
      </w:r>
      <w:r w:rsidR="00D41458">
        <w:rPr>
          <w:rFonts w:ascii="Garamond" w:hAnsi="Garamond" w:cstheme="minorHAnsi"/>
          <w:b/>
          <w:sz w:val="22"/>
          <w:szCs w:val="22"/>
        </w:rPr>
        <w:t xml:space="preserve"> (Physician Groups and Other Provider)</w:t>
      </w:r>
      <w:bookmarkEnd w:id="3"/>
    </w:p>
    <w:p w14:paraId="18C80AE3" w14:textId="77777777" w:rsidR="00317493" w:rsidRPr="005C78DA" w:rsidRDefault="00317493" w:rsidP="00317493">
      <w:pPr>
        <w:pStyle w:val="Default"/>
        <w:ind w:left="360"/>
        <w:rPr>
          <w:rFonts w:ascii="Garamond" w:hAnsi="Garamond" w:cstheme="minorHAnsi"/>
          <w:b/>
          <w:sz w:val="22"/>
          <w:szCs w:val="22"/>
        </w:rPr>
      </w:pPr>
    </w:p>
    <w:p w14:paraId="4D565FB6" w14:textId="13AB9E78" w:rsidR="003302FC" w:rsidRDefault="00CB7549" w:rsidP="09E1B708">
      <w:pPr>
        <w:pStyle w:val="FootnoteText"/>
        <w:spacing w:line="276" w:lineRule="auto"/>
        <w:rPr>
          <w:rFonts w:ascii="Garamond" w:hAnsi="Garamond" w:cstheme="minorBidi"/>
          <w:sz w:val="22"/>
          <w:szCs w:val="22"/>
        </w:rPr>
      </w:pPr>
      <w:r w:rsidRPr="09E1B708">
        <w:rPr>
          <w:rFonts w:ascii="Garamond" w:hAnsi="Garamond" w:cstheme="minorBidi"/>
          <w:sz w:val="22"/>
          <w:szCs w:val="22"/>
        </w:rPr>
        <w:t xml:space="preserve">Payers must report </w:t>
      </w:r>
      <w:r w:rsidR="00956161" w:rsidRPr="09E1B708">
        <w:rPr>
          <w:rFonts w:ascii="Garamond" w:hAnsi="Garamond" w:cstheme="minorBidi"/>
          <w:sz w:val="22"/>
          <w:szCs w:val="22"/>
        </w:rPr>
        <w:t>RP</w:t>
      </w:r>
      <w:r w:rsidR="005165EF" w:rsidRPr="09E1B708">
        <w:rPr>
          <w:rFonts w:ascii="Garamond" w:hAnsi="Garamond" w:cstheme="minorBidi"/>
          <w:sz w:val="22"/>
          <w:szCs w:val="22"/>
        </w:rPr>
        <w:t xml:space="preserve"> data</w:t>
      </w:r>
      <w:r w:rsidRPr="09E1B708">
        <w:rPr>
          <w:rFonts w:ascii="Garamond" w:hAnsi="Garamond" w:cstheme="minorBidi"/>
          <w:sz w:val="22"/>
          <w:szCs w:val="22"/>
        </w:rPr>
        <w:t xml:space="preserve"> for Massachusetts-based providers w</w:t>
      </w:r>
      <w:r w:rsidR="00892940" w:rsidRPr="09E1B708">
        <w:rPr>
          <w:rFonts w:ascii="Garamond" w:hAnsi="Garamond" w:cstheme="minorBidi"/>
          <w:sz w:val="22"/>
          <w:szCs w:val="22"/>
        </w:rPr>
        <w:t>ho were reimbursed for member care and payments that exceed the reporting threshold</w:t>
      </w:r>
      <w:r w:rsidRPr="09E1B708">
        <w:rPr>
          <w:rFonts w:ascii="Garamond" w:hAnsi="Garamond" w:cstheme="minorBidi"/>
          <w:sz w:val="22"/>
          <w:szCs w:val="22"/>
        </w:rPr>
        <w:t xml:space="preserve">. </w:t>
      </w:r>
      <w:r w:rsidR="00CB2189" w:rsidRPr="09E1B708">
        <w:rPr>
          <w:rFonts w:ascii="Garamond" w:hAnsi="Garamond" w:cstheme="minorBidi"/>
          <w:sz w:val="22"/>
          <w:szCs w:val="22"/>
        </w:rPr>
        <w:t xml:space="preserve">Payers should include </w:t>
      </w:r>
      <w:r w:rsidR="001D3794" w:rsidRPr="09E1B708">
        <w:rPr>
          <w:rFonts w:ascii="Garamond" w:hAnsi="Garamond" w:cstheme="minorBidi"/>
          <w:sz w:val="22"/>
          <w:szCs w:val="22"/>
        </w:rPr>
        <w:t xml:space="preserve">payments </w:t>
      </w:r>
      <w:r w:rsidR="00CB2189" w:rsidRPr="09E1B708">
        <w:rPr>
          <w:rFonts w:ascii="Garamond" w:hAnsi="Garamond" w:cstheme="minorBidi"/>
          <w:sz w:val="22"/>
          <w:szCs w:val="22"/>
        </w:rPr>
        <w:t xml:space="preserve">data for non-Massachusetts members if they seek care at a </w:t>
      </w:r>
      <w:r w:rsidR="005165EF" w:rsidRPr="09E1B708">
        <w:rPr>
          <w:rFonts w:ascii="Garamond" w:hAnsi="Garamond" w:cstheme="minorBidi"/>
          <w:sz w:val="22"/>
          <w:szCs w:val="22"/>
        </w:rPr>
        <w:t xml:space="preserve">Massachusetts </w:t>
      </w:r>
      <w:r w:rsidR="00CB2189" w:rsidRPr="09E1B708">
        <w:rPr>
          <w:rFonts w:ascii="Garamond" w:hAnsi="Garamond" w:cstheme="minorBidi"/>
          <w:sz w:val="22"/>
          <w:szCs w:val="22"/>
        </w:rPr>
        <w:t>provider.</w:t>
      </w:r>
      <w:r w:rsidR="00AB7EBF" w:rsidRPr="09E1B708">
        <w:rPr>
          <w:rFonts w:ascii="Garamond" w:hAnsi="Garamond" w:cstheme="minorBidi"/>
          <w:sz w:val="22"/>
          <w:szCs w:val="22"/>
        </w:rPr>
        <w:t xml:space="preserve"> </w:t>
      </w:r>
      <w:r w:rsidR="00CC0DEA" w:rsidRPr="09E1B708">
        <w:rPr>
          <w:rFonts w:ascii="Garamond" w:hAnsi="Garamond" w:cstheme="minorBidi"/>
          <w:sz w:val="22"/>
          <w:szCs w:val="22"/>
        </w:rPr>
        <w:t xml:space="preserve">CHIA has included a uniform provider list within the data submission template for reference. In addition, </w:t>
      </w:r>
      <w:r w:rsidR="001D16A5" w:rsidRPr="09E1B708">
        <w:rPr>
          <w:rFonts w:ascii="Garamond" w:hAnsi="Garamond" w:cstheme="minorBidi"/>
          <w:sz w:val="22"/>
          <w:szCs w:val="22"/>
        </w:rPr>
        <w:t>CHIA</w:t>
      </w:r>
      <w:r w:rsidR="008724E0" w:rsidRPr="09E1B708">
        <w:rPr>
          <w:rFonts w:ascii="Garamond" w:hAnsi="Garamond" w:cstheme="minorBidi"/>
          <w:sz w:val="22"/>
          <w:szCs w:val="22"/>
        </w:rPr>
        <w:t xml:space="preserve"> has </w:t>
      </w:r>
      <w:r w:rsidR="00CC0DEA" w:rsidRPr="09E1B708">
        <w:rPr>
          <w:rFonts w:ascii="Garamond" w:hAnsi="Garamond" w:cstheme="minorBidi"/>
          <w:sz w:val="22"/>
          <w:szCs w:val="22"/>
        </w:rPr>
        <w:t xml:space="preserve">also </w:t>
      </w:r>
      <w:r w:rsidR="008724E0" w:rsidRPr="09E1B708">
        <w:rPr>
          <w:rFonts w:ascii="Garamond" w:hAnsi="Garamond" w:cstheme="minorBidi"/>
          <w:sz w:val="22"/>
          <w:szCs w:val="22"/>
        </w:rPr>
        <w:t xml:space="preserve">published </w:t>
      </w:r>
      <w:r w:rsidR="00CC0DEA" w:rsidRPr="09E1B708">
        <w:rPr>
          <w:rFonts w:ascii="Garamond" w:hAnsi="Garamond" w:cstheme="minorBidi"/>
          <w:sz w:val="22"/>
          <w:szCs w:val="22"/>
        </w:rPr>
        <w:t>the</w:t>
      </w:r>
      <w:r w:rsidR="009432A6" w:rsidRPr="09E1B708">
        <w:rPr>
          <w:rFonts w:ascii="Garamond" w:hAnsi="Garamond" w:cstheme="minorBidi"/>
          <w:sz w:val="22"/>
          <w:szCs w:val="22"/>
        </w:rPr>
        <w:t xml:space="preserve"> uniform provider list </w:t>
      </w:r>
      <w:r w:rsidR="0051780D" w:rsidRPr="09E1B708">
        <w:rPr>
          <w:rFonts w:ascii="Garamond" w:hAnsi="Garamond" w:cstheme="minorBidi"/>
          <w:sz w:val="22"/>
          <w:szCs w:val="22"/>
        </w:rPr>
        <w:t xml:space="preserve">on </w:t>
      </w:r>
      <w:r w:rsidR="006914CE" w:rsidRPr="09E1B708">
        <w:rPr>
          <w:rFonts w:ascii="Garamond" w:hAnsi="Garamond" w:cstheme="minorBidi"/>
          <w:sz w:val="22"/>
          <w:szCs w:val="22"/>
        </w:rPr>
        <w:t>its</w:t>
      </w:r>
      <w:r w:rsidR="0051780D" w:rsidRPr="09E1B708">
        <w:rPr>
          <w:rFonts w:ascii="Garamond" w:hAnsi="Garamond" w:cstheme="minorBidi"/>
          <w:sz w:val="22"/>
          <w:szCs w:val="22"/>
        </w:rPr>
        <w:t xml:space="preserve"> website </w:t>
      </w:r>
      <w:r w:rsidR="009432A6" w:rsidRPr="09E1B708">
        <w:rPr>
          <w:rFonts w:ascii="Garamond" w:hAnsi="Garamond" w:cstheme="minorBidi"/>
          <w:sz w:val="22"/>
          <w:szCs w:val="22"/>
        </w:rPr>
        <w:t>for the</w:t>
      </w:r>
      <w:r w:rsidR="00052EDB" w:rsidRPr="09E1B708">
        <w:rPr>
          <w:rFonts w:ascii="Garamond" w:hAnsi="Garamond" w:cstheme="minorBidi"/>
          <w:sz w:val="22"/>
          <w:szCs w:val="22"/>
        </w:rPr>
        <w:t xml:space="preserve"> most commonly reported</w:t>
      </w:r>
      <w:r w:rsidR="00AB1EBF" w:rsidRPr="09E1B708">
        <w:rPr>
          <w:rFonts w:ascii="Garamond" w:hAnsi="Garamond" w:cstheme="minorBidi"/>
          <w:sz w:val="22"/>
          <w:szCs w:val="22"/>
        </w:rPr>
        <w:t xml:space="preserve"> provider group</w:t>
      </w:r>
      <w:r w:rsidR="009432A6" w:rsidRPr="09E1B708">
        <w:rPr>
          <w:rFonts w:ascii="Garamond" w:hAnsi="Garamond" w:cstheme="minorBidi"/>
          <w:sz w:val="22"/>
          <w:szCs w:val="22"/>
        </w:rPr>
        <w:t>s</w:t>
      </w:r>
      <w:r w:rsidR="00052EDB" w:rsidRPr="09E1B708">
        <w:rPr>
          <w:rFonts w:ascii="Garamond" w:hAnsi="Garamond" w:cstheme="minorBidi"/>
          <w:sz w:val="22"/>
          <w:szCs w:val="22"/>
        </w:rPr>
        <w:t>.</w:t>
      </w:r>
      <w:r w:rsidR="00AB7EBF" w:rsidRPr="09E1B708">
        <w:rPr>
          <w:rFonts w:ascii="Garamond" w:hAnsi="Garamond" w:cstheme="minorBidi"/>
          <w:sz w:val="22"/>
          <w:szCs w:val="22"/>
        </w:rPr>
        <w:t xml:space="preserve"> </w:t>
      </w:r>
      <w:r w:rsidR="00F07063" w:rsidRPr="09E1B708">
        <w:rPr>
          <w:rFonts w:ascii="Garamond" w:hAnsi="Garamond" w:cstheme="minorBidi"/>
          <w:sz w:val="22"/>
          <w:szCs w:val="22"/>
        </w:rPr>
        <w:t xml:space="preserve">The link to the list </w:t>
      </w:r>
      <w:r w:rsidR="05718AAA" w:rsidRPr="09E1B708">
        <w:rPr>
          <w:rFonts w:ascii="Garamond" w:hAnsi="Garamond" w:cstheme="minorBidi"/>
          <w:sz w:val="22"/>
          <w:szCs w:val="22"/>
        </w:rPr>
        <w:t xml:space="preserve">can be </w:t>
      </w:r>
      <w:r w:rsidR="00F07063" w:rsidRPr="09E1B708">
        <w:rPr>
          <w:rFonts w:ascii="Garamond" w:hAnsi="Garamond" w:cstheme="minorBidi"/>
          <w:sz w:val="22"/>
          <w:szCs w:val="22"/>
        </w:rPr>
        <w:t>found in Appendix A.</w:t>
      </w:r>
      <w:r w:rsidR="00AB7EBF" w:rsidRPr="09E1B708">
        <w:rPr>
          <w:rFonts w:ascii="Garamond" w:hAnsi="Garamond" w:cstheme="minorBidi"/>
          <w:sz w:val="22"/>
          <w:szCs w:val="22"/>
        </w:rPr>
        <w:t xml:space="preserve"> </w:t>
      </w:r>
      <w:r w:rsidR="0088696A" w:rsidRPr="09E1B708">
        <w:rPr>
          <w:rFonts w:ascii="Garamond" w:hAnsi="Garamond" w:cstheme="minorBidi"/>
          <w:sz w:val="22"/>
          <w:szCs w:val="22"/>
        </w:rPr>
        <w:t>P</w:t>
      </w:r>
      <w:r w:rsidR="008724E0" w:rsidRPr="09E1B708">
        <w:rPr>
          <w:rFonts w:ascii="Garamond" w:hAnsi="Garamond" w:cstheme="minorBidi"/>
          <w:sz w:val="22"/>
          <w:szCs w:val="22"/>
        </w:rPr>
        <w:t>ayers are required</w:t>
      </w:r>
      <w:r w:rsidR="00A7770F" w:rsidRPr="09E1B708">
        <w:rPr>
          <w:rFonts w:ascii="Garamond" w:hAnsi="Garamond" w:cstheme="minorBidi"/>
          <w:sz w:val="22"/>
          <w:szCs w:val="22"/>
        </w:rPr>
        <w:t xml:space="preserve"> to use th</w:t>
      </w:r>
      <w:r w:rsidR="009617E7" w:rsidRPr="09E1B708">
        <w:rPr>
          <w:rFonts w:ascii="Garamond" w:hAnsi="Garamond" w:cstheme="minorBidi"/>
          <w:sz w:val="22"/>
          <w:szCs w:val="22"/>
        </w:rPr>
        <w:t xml:space="preserve">is uniform </w:t>
      </w:r>
      <w:r w:rsidR="00647693" w:rsidRPr="09E1B708">
        <w:rPr>
          <w:rFonts w:ascii="Garamond" w:hAnsi="Garamond" w:cstheme="minorBidi"/>
          <w:sz w:val="22"/>
          <w:szCs w:val="22"/>
        </w:rPr>
        <w:t xml:space="preserve">relative price </w:t>
      </w:r>
      <w:r w:rsidR="009617E7" w:rsidRPr="09E1B708">
        <w:rPr>
          <w:rFonts w:ascii="Garamond" w:hAnsi="Garamond" w:cstheme="minorBidi"/>
          <w:sz w:val="22"/>
          <w:szCs w:val="22"/>
        </w:rPr>
        <w:t>provider list</w:t>
      </w:r>
      <w:r w:rsidR="0088696A" w:rsidRPr="09E1B708">
        <w:rPr>
          <w:rFonts w:ascii="Garamond" w:hAnsi="Garamond" w:cstheme="minorBidi"/>
          <w:sz w:val="22"/>
          <w:szCs w:val="22"/>
        </w:rPr>
        <w:t xml:space="preserve"> and CHIA OrgIDs for RP reporting.</w:t>
      </w:r>
      <w:r w:rsidR="5E28B337" w:rsidRPr="09E1B708">
        <w:rPr>
          <w:rFonts w:ascii="Garamond" w:hAnsi="Garamond" w:cstheme="minorBidi"/>
          <w:sz w:val="22"/>
          <w:szCs w:val="22"/>
        </w:rPr>
        <w:t xml:space="preserve"> </w:t>
      </w:r>
      <w:r w:rsidR="247D49F6" w:rsidRPr="09E1B708">
        <w:rPr>
          <w:rFonts w:ascii="Garamond" w:hAnsi="Garamond" w:cstheme="minorBidi"/>
          <w:sz w:val="22"/>
          <w:szCs w:val="22"/>
        </w:rPr>
        <w:t xml:space="preserve">The only exception is providers within the payers' top 10 </w:t>
      </w:r>
      <w:r w:rsidR="0B27A23A" w:rsidRPr="09E1B708">
        <w:rPr>
          <w:rFonts w:ascii="Garamond" w:hAnsi="Garamond" w:cstheme="minorBidi"/>
          <w:sz w:val="22"/>
          <w:szCs w:val="22"/>
        </w:rPr>
        <w:t xml:space="preserve">highest </w:t>
      </w:r>
      <w:r w:rsidR="247D49F6" w:rsidRPr="09E1B708">
        <w:rPr>
          <w:rFonts w:ascii="Garamond" w:hAnsi="Garamond" w:cstheme="minorBidi"/>
          <w:sz w:val="22"/>
          <w:szCs w:val="22"/>
        </w:rPr>
        <w:t>claims payments at the insurance category level that are over the total payment threshold and not on the list.</w:t>
      </w:r>
      <w:r w:rsidR="6B5B7F36" w:rsidRPr="09E1B708">
        <w:rPr>
          <w:rFonts w:ascii="Garamond" w:hAnsi="Garamond" w:cstheme="minorBidi"/>
          <w:b/>
          <w:bCs/>
          <w:sz w:val="22"/>
          <w:szCs w:val="22"/>
        </w:rPr>
        <w:t xml:space="preserve"> If this is the case, the payer should contact CHIA for the provider Org ID. </w:t>
      </w:r>
      <w:r w:rsidR="00CC0DEA" w:rsidRPr="09E1B708">
        <w:rPr>
          <w:rFonts w:ascii="Garamond" w:hAnsi="Garamond" w:cstheme="minorBidi"/>
          <w:sz w:val="22"/>
          <w:szCs w:val="22"/>
        </w:rPr>
        <w:t>The file submission will not be accepted if data is included for providers that are not on the provider list</w:t>
      </w:r>
      <w:r w:rsidR="4CB1494E" w:rsidRPr="09E1B708">
        <w:rPr>
          <w:rFonts w:ascii="Garamond" w:hAnsi="Garamond" w:cstheme="minorBidi"/>
          <w:sz w:val="22"/>
          <w:szCs w:val="22"/>
        </w:rPr>
        <w:t xml:space="preserve"> or match the exception criteria</w:t>
      </w:r>
      <w:r w:rsidR="00CC0DEA" w:rsidRPr="09E1B708">
        <w:rPr>
          <w:rFonts w:ascii="Garamond" w:hAnsi="Garamond" w:cstheme="minorBidi"/>
          <w:sz w:val="22"/>
          <w:szCs w:val="22"/>
        </w:rPr>
        <w:t>.</w:t>
      </w:r>
      <w:r w:rsidR="009617E7" w:rsidRPr="09E1B708">
        <w:rPr>
          <w:rFonts w:ascii="Garamond" w:hAnsi="Garamond" w:cstheme="minorBidi"/>
          <w:sz w:val="22"/>
          <w:szCs w:val="22"/>
        </w:rPr>
        <w:t xml:space="preserve"> </w:t>
      </w:r>
    </w:p>
    <w:p w14:paraId="05A29A45" w14:textId="77777777" w:rsidR="003302FC" w:rsidRDefault="003302FC" w:rsidP="00D94268">
      <w:pPr>
        <w:pStyle w:val="FootnoteText"/>
        <w:spacing w:line="276" w:lineRule="auto"/>
        <w:rPr>
          <w:rFonts w:ascii="Garamond" w:hAnsi="Garamond" w:cstheme="minorHAnsi"/>
          <w:sz w:val="22"/>
          <w:szCs w:val="22"/>
        </w:rPr>
      </w:pPr>
    </w:p>
    <w:p w14:paraId="4A04F1AD" w14:textId="3BD27D92" w:rsidR="008724E0" w:rsidRPr="005C78DA" w:rsidRDefault="0088696A" w:rsidP="09E1B708">
      <w:pPr>
        <w:pStyle w:val="FootnoteText"/>
        <w:spacing w:line="276" w:lineRule="auto"/>
        <w:rPr>
          <w:rFonts w:ascii="Garamond" w:hAnsi="Garamond" w:cstheme="minorBidi"/>
          <w:sz w:val="22"/>
          <w:szCs w:val="22"/>
        </w:rPr>
      </w:pPr>
      <w:r w:rsidRPr="09E1B708">
        <w:rPr>
          <w:rFonts w:ascii="Garamond" w:hAnsi="Garamond" w:cstheme="minorBidi"/>
          <w:sz w:val="22"/>
          <w:szCs w:val="22"/>
        </w:rPr>
        <w:t xml:space="preserve">In addition, payers must report providers in accordance with the provider type identified in the uniform </w:t>
      </w:r>
      <w:r w:rsidR="00647693" w:rsidRPr="09E1B708">
        <w:rPr>
          <w:rFonts w:ascii="Garamond" w:hAnsi="Garamond" w:cstheme="minorBidi"/>
          <w:sz w:val="22"/>
          <w:szCs w:val="22"/>
        </w:rPr>
        <w:t xml:space="preserve">relative price </w:t>
      </w:r>
      <w:r w:rsidRPr="09E1B708">
        <w:rPr>
          <w:rFonts w:ascii="Garamond" w:hAnsi="Garamond" w:cstheme="minorBidi"/>
          <w:sz w:val="22"/>
          <w:szCs w:val="22"/>
        </w:rPr>
        <w:t>provider list, e.g. physician groups must be reported in the PG file</w:t>
      </w:r>
      <w:r w:rsidR="00CC0DEA" w:rsidRPr="09E1B708">
        <w:rPr>
          <w:rFonts w:ascii="Garamond" w:hAnsi="Garamond" w:cstheme="minorBidi"/>
          <w:sz w:val="22"/>
          <w:szCs w:val="22"/>
        </w:rPr>
        <w:t xml:space="preserve">, </w:t>
      </w:r>
      <w:r w:rsidRPr="09E1B708">
        <w:rPr>
          <w:rFonts w:ascii="Garamond" w:hAnsi="Garamond" w:cstheme="minorBidi"/>
          <w:sz w:val="22"/>
          <w:szCs w:val="22"/>
        </w:rPr>
        <w:t>home health a</w:t>
      </w:r>
      <w:r w:rsidR="003302FC" w:rsidRPr="09E1B708">
        <w:rPr>
          <w:rFonts w:ascii="Garamond" w:hAnsi="Garamond" w:cstheme="minorBidi"/>
          <w:sz w:val="22"/>
          <w:szCs w:val="22"/>
        </w:rPr>
        <w:t>gencies must be reported in the OP file</w:t>
      </w:r>
      <w:r w:rsidRPr="09E1B708">
        <w:rPr>
          <w:rFonts w:ascii="Garamond" w:hAnsi="Garamond" w:cstheme="minorBidi"/>
          <w:sz w:val="22"/>
          <w:szCs w:val="22"/>
        </w:rPr>
        <w:t>, etc. Note that the provider and provider type relationship is mutually exclusive</w:t>
      </w:r>
      <w:r w:rsidR="007124FC" w:rsidRPr="09E1B708">
        <w:rPr>
          <w:rFonts w:ascii="Garamond" w:hAnsi="Garamond" w:cstheme="minorBidi"/>
          <w:sz w:val="22"/>
          <w:szCs w:val="22"/>
        </w:rPr>
        <w:t>, with the exception of acute hospitals licensed with separate psychiatric units</w:t>
      </w:r>
      <w:r w:rsidRPr="09E1B708">
        <w:rPr>
          <w:rFonts w:ascii="Garamond" w:hAnsi="Garamond" w:cstheme="minorBidi"/>
          <w:sz w:val="22"/>
          <w:szCs w:val="22"/>
        </w:rPr>
        <w:t xml:space="preserve">. </w:t>
      </w:r>
      <w:r w:rsidRPr="09E1B708">
        <w:rPr>
          <w:rFonts w:ascii="Garamond" w:hAnsi="Garamond" w:cstheme="minorBidi"/>
          <w:b/>
          <w:bCs/>
          <w:sz w:val="22"/>
          <w:szCs w:val="22"/>
        </w:rPr>
        <w:t xml:space="preserve">Providers reported that do not align with the provider OrgID and provider type identified in the uniform </w:t>
      </w:r>
      <w:r w:rsidR="00647693" w:rsidRPr="09E1B708">
        <w:rPr>
          <w:rFonts w:ascii="Garamond" w:hAnsi="Garamond" w:cstheme="minorBidi"/>
          <w:b/>
          <w:bCs/>
          <w:sz w:val="22"/>
          <w:szCs w:val="22"/>
        </w:rPr>
        <w:t xml:space="preserve">relative price </w:t>
      </w:r>
      <w:r w:rsidRPr="09E1B708">
        <w:rPr>
          <w:rFonts w:ascii="Garamond" w:hAnsi="Garamond" w:cstheme="minorBidi"/>
          <w:b/>
          <w:bCs/>
          <w:sz w:val="22"/>
          <w:szCs w:val="22"/>
        </w:rPr>
        <w:t>provider list will not be accepted for submission.</w:t>
      </w:r>
      <w:r w:rsidRPr="09E1B708">
        <w:rPr>
          <w:rFonts w:ascii="Garamond" w:hAnsi="Garamond" w:cstheme="minorBidi"/>
          <w:sz w:val="22"/>
          <w:szCs w:val="22"/>
        </w:rPr>
        <w:t xml:space="preserve"> </w:t>
      </w:r>
      <w:r w:rsidR="00343B5D" w:rsidRPr="09E1B708">
        <w:rPr>
          <w:rFonts w:ascii="Garamond" w:hAnsi="Garamond" w:cstheme="minorBidi"/>
          <w:sz w:val="22"/>
          <w:szCs w:val="22"/>
        </w:rPr>
        <w:t xml:space="preserve">Data submitters should review the uniform provider list, and submit any requests for additions or updates to CHIA </w:t>
      </w:r>
      <w:r w:rsidR="00CC0DEA" w:rsidRPr="09E1B708">
        <w:rPr>
          <w:rFonts w:ascii="Garamond" w:hAnsi="Garamond" w:cstheme="minorBidi"/>
          <w:sz w:val="22"/>
          <w:szCs w:val="22"/>
        </w:rPr>
        <w:t xml:space="preserve">by </w:t>
      </w:r>
      <w:r w:rsidR="456AD545" w:rsidRPr="09E1B708">
        <w:rPr>
          <w:rFonts w:ascii="Garamond" w:hAnsi="Garamond" w:cstheme="minorBidi"/>
          <w:sz w:val="22"/>
          <w:szCs w:val="22"/>
        </w:rPr>
        <w:t xml:space="preserve">October </w:t>
      </w:r>
      <w:r w:rsidR="54CE20F3" w:rsidRPr="09E1B708">
        <w:rPr>
          <w:rFonts w:ascii="Garamond" w:hAnsi="Garamond" w:cstheme="minorBidi"/>
          <w:sz w:val="22"/>
          <w:szCs w:val="22"/>
        </w:rPr>
        <w:t>4</w:t>
      </w:r>
      <w:r w:rsidR="00CB75CA" w:rsidRPr="09E1B708">
        <w:rPr>
          <w:rFonts w:ascii="Garamond" w:hAnsi="Garamond" w:cstheme="minorBidi"/>
          <w:sz w:val="22"/>
          <w:szCs w:val="22"/>
        </w:rPr>
        <w:t xml:space="preserve">, </w:t>
      </w:r>
      <w:r w:rsidR="00332108" w:rsidRPr="09E1B708">
        <w:rPr>
          <w:rFonts w:ascii="Garamond" w:hAnsi="Garamond" w:cstheme="minorBidi"/>
          <w:sz w:val="22"/>
          <w:szCs w:val="22"/>
        </w:rPr>
        <w:t>202</w:t>
      </w:r>
      <w:r w:rsidR="3816CCC9" w:rsidRPr="09E1B708">
        <w:rPr>
          <w:rFonts w:ascii="Garamond" w:hAnsi="Garamond" w:cstheme="minorBidi"/>
          <w:sz w:val="22"/>
          <w:szCs w:val="22"/>
        </w:rPr>
        <w:t>4</w:t>
      </w:r>
      <w:r w:rsidR="00343B5D" w:rsidRPr="09E1B708">
        <w:rPr>
          <w:rFonts w:ascii="Garamond" w:hAnsi="Garamond" w:cstheme="minorBidi"/>
          <w:sz w:val="22"/>
          <w:szCs w:val="22"/>
        </w:rPr>
        <w:t>. Requests can be emailed to</w:t>
      </w:r>
      <w:r w:rsidR="00933401" w:rsidRPr="09E1B708">
        <w:rPr>
          <w:rFonts w:ascii="Garamond" w:hAnsi="Garamond" w:cstheme="minorBidi"/>
          <w:sz w:val="22"/>
          <w:szCs w:val="22"/>
        </w:rPr>
        <w:t xml:space="preserve"> Eric Yang at Eric.Yang@chiamass.gov</w:t>
      </w:r>
      <w:r w:rsidR="00CC0DEA" w:rsidRPr="09E1B708">
        <w:rPr>
          <w:rFonts w:ascii="Garamond" w:hAnsi="Garamond" w:cstheme="minorBidi"/>
          <w:sz w:val="22"/>
          <w:szCs w:val="22"/>
        </w:rPr>
        <w:t xml:space="preserve">. </w:t>
      </w:r>
    </w:p>
    <w:p w14:paraId="3AB864EC" w14:textId="77777777" w:rsidR="00F954AB" w:rsidRPr="005C78DA" w:rsidRDefault="00F954AB" w:rsidP="00D94268">
      <w:pPr>
        <w:pStyle w:val="Default"/>
        <w:spacing w:line="276" w:lineRule="auto"/>
        <w:rPr>
          <w:rFonts w:ascii="Garamond" w:hAnsi="Garamond" w:cstheme="minorHAnsi"/>
          <w:sz w:val="22"/>
          <w:szCs w:val="22"/>
        </w:rPr>
      </w:pPr>
    </w:p>
    <w:p w14:paraId="512587AD" w14:textId="21B6D819" w:rsidR="002713AD" w:rsidRDefault="00401721" w:rsidP="09E1B708">
      <w:pPr>
        <w:pStyle w:val="Default"/>
        <w:spacing w:line="276" w:lineRule="auto"/>
        <w:rPr>
          <w:rFonts w:ascii="Garamond" w:hAnsi="Garamond" w:cstheme="minorBidi"/>
          <w:sz w:val="22"/>
          <w:szCs w:val="22"/>
        </w:rPr>
      </w:pPr>
      <w:r w:rsidRPr="09E1B708">
        <w:rPr>
          <w:rFonts w:ascii="Garamond" w:hAnsi="Garamond" w:cstheme="minorBidi"/>
          <w:sz w:val="22"/>
          <w:szCs w:val="22"/>
        </w:rPr>
        <w:t xml:space="preserve">Payers are to </w:t>
      </w:r>
      <w:r w:rsidR="00DA73B7" w:rsidRPr="09E1B708">
        <w:rPr>
          <w:rFonts w:ascii="Garamond" w:hAnsi="Garamond" w:cstheme="minorBidi"/>
          <w:sz w:val="22"/>
          <w:szCs w:val="22"/>
        </w:rPr>
        <w:t xml:space="preserve">report as individual entities </w:t>
      </w:r>
      <w:r w:rsidR="00DA73B7" w:rsidRPr="09E1B708">
        <w:rPr>
          <w:rFonts w:ascii="Garamond" w:hAnsi="Garamond" w:cstheme="minorBidi"/>
          <w:b/>
          <w:bCs/>
          <w:sz w:val="22"/>
          <w:szCs w:val="22"/>
        </w:rPr>
        <w:t>only</w:t>
      </w:r>
      <w:r w:rsidR="00DA73B7" w:rsidRPr="09E1B708">
        <w:rPr>
          <w:rFonts w:ascii="Garamond" w:hAnsi="Garamond" w:cstheme="minorBidi"/>
          <w:sz w:val="22"/>
          <w:szCs w:val="22"/>
        </w:rPr>
        <w:t xml:space="preserve"> those provider groups</w:t>
      </w:r>
      <w:r w:rsidR="02A43A94" w:rsidRPr="09E1B708">
        <w:rPr>
          <w:rFonts w:ascii="Garamond" w:hAnsi="Garamond" w:cstheme="minorBidi"/>
          <w:sz w:val="22"/>
          <w:szCs w:val="22"/>
        </w:rPr>
        <w:t xml:space="preserve"> who</w:t>
      </w:r>
      <w:r w:rsidR="5C628E65" w:rsidRPr="09E1B708">
        <w:rPr>
          <w:rFonts w:ascii="Garamond" w:hAnsi="Garamond" w:cstheme="minorBidi"/>
          <w:sz w:val="22"/>
          <w:szCs w:val="22"/>
        </w:rPr>
        <w:t>:</w:t>
      </w:r>
    </w:p>
    <w:p w14:paraId="15BECEAB" w14:textId="6EA2B98A" w:rsidR="002713AD" w:rsidRDefault="64B7F803" w:rsidP="09E1B708">
      <w:pPr>
        <w:pStyle w:val="Default"/>
        <w:numPr>
          <w:ilvl w:val="0"/>
          <w:numId w:val="1"/>
        </w:numPr>
        <w:spacing w:line="276" w:lineRule="auto"/>
        <w:rPr>
          <w:rFonts w:ascii="Garamond" w:hAnsi="Garamond" w:cstheme="minorBidi"/>
          <w:sz w:val="22"/>
          <w:szCs w:val="22"/>
        </w:rPr>
      </w:pPr>
      <w:r w:rsidRPr="09E1B708">
        <w:rPr>
          <w:rFonts w:ascii="Garamond" w:hAnsi="Garamond" w:cstheme="minorBidi"/>
          <w:sz w:val="22"/>
          <w:szCs w:val="22"/>
        </w:rPr>
        <w:t>Had</w:t>
      </w:r>
      <w:r w:rsidR="00DA73B7" w:rsidRPr="09E1B708">
        <w:rPr>
          <w:rFonts w:ascii="Garamond" w:hAnsi="Garamond" w:cstheme="minorBidi"/>
          <w:sz w:val="22"/>
          <w:szCs w:val="22"/>
        </w:rPr>
        <w:t xml:space="preserve"> total payments in the calendar year </w:t>
      </w:r>
      <w:r w:rsidR="5F67CF2E" w:rsidRPr="09E1B708">
        <w:rPr>
          <w:rFonts w:ascii="Garamond" w:hAnsi="Garamond" w:cstheme="minorBidi"/>
          <w:sz w:val="22"/>
          <w:szCs w:val="22"/>
        </w:rPr>
        <w:t xml:space="preserve">that </w:t>
      </w:r>
      <w:r w:rsidR="00DA73B7" w:rsidRPr="09E1B708">
        <w:rPr>
          <w:rFonts w:ascii="Garamond" w:hAnsi="Garamond" w:cstheme="minorBidi"/>
          <w:sz w:val="22"/>
          <w:szCs w:val="22"/>
        </w:rPr>
        <w:t>exceeded $20,000</w:t>
      </w:r>
      <w:r w:rsidR="30B87CBE" w:rsidRPr="09E1B708">
        <w:rPr>
          <w:rFonts w:ascii="Garamond" w:hAnsi="Garamond" w:cstheme="minorBidi"/>
          <w:sz w:val="22"/>
          <w:szCs w:val="22"/>
        </w:rPr>
        <w:t xml:space="preserve"> and a</w:t>
      </w:r>
      <w:r w:rsidR="4786F5D1" w:rsidRPr="09E1B708">
        <w:rPr>
          <w:rFonts w:ascii="Garamond" w:hAnsi="Garamond" w:cstheme="minorBidi"/>
          <w:sz w:val="22"/>
          <w:szCs w:val="22"/>
        </w:rPr>
        <w:t>re included on the uniform provider list</w:t>
      </w:r>
      <w:r w:rsidR="35C555CC" w:rsidRPr="09E1B708">
        <w:rPr>
          <w:rFonts w:ascii="Garamond" w:hAnsi="Garamond" w:cstheme="minorBidi"/>
          <w:sz w:val="22"/>
          <w:szCs w:val="22"/>
        </w:rPr>
        <w:t>.</w:t>
      </w:r>
    </w:p>
    <w:p w14:paraId="342B4788" w14:textId="7CB53DEF" w:rsidR="002713AD" w:rsidRDefault="47B6CB71" w:rsidP="09E1B708">
      <w:pPr>
        <w:pStyle w:val="Default"/>
        <w:numPr>
          <w:ilvl w:val="0"/>
          <w:numId w:val="1"/>
        </w:numPr>
        <w:spacing w:line="276" w:lineRule="auto"/>
        <w:rPr>
          <w:rFonts w:ascii="Garamond" w:hAnsi="Garamond" w:cstheme="minorBidi"/>
          <w:sz w:val="22"/>
          <w:szCs w:val="22"/>
        </w:rPr>
      </w:pPr>
      <w:r w:rsidRPr="09E1B708">
        <w:rPr>
          <w:rFonts w:ascii="Garamond" w:hAnsi="Garamond" w:cstheme="minorBidi"/>
          <w:sz w:val="22"/>
          <w:szCs w:val="22"/>
        </w:rPr>
        <w:t>If not on the uniform provider list</w:t>
      </w:r>
      <w:r w:rsidR="011930F2" w:rsidRPr="09E1B708">
        <w:rPr>
          <w:rFonts w:ascii="Garamond" w:hAnsi="Garamond" w:cstheme="minorBidi"/>
          <w:sz w:val="22"/>
          <w:szCs w:val="22"/>
        </w:rPr>
        <w:t xml:space="preserve"> </w:t>
      </w:r>
      <w:r w:rsidR="011930F2" w:rsidRPr="09E1B708">
        <w:rPr>
          <w:rFonts w:ascii="Garamond" w:hAnsi="Garamond" w:cstheme="minorBidi"/>
          <w:b/>
          <w:bCs/>
          <w:sz w:val="22"/>
          <w:szCs w:val="22"/>
        </w:rPr>
        <w:t xml:space="preserve">and </w:t>
      </w:r>
      <w:r w:rsidR="011930F2" w:rsidRPr="09E1B708">
        <w:rPr>
          <w:rFonts w:ascii="Garamond" w:hAnsi="Garamond" w:cstheme="minorBidi"/>
          <w:sz w:val="22"/>
          <w:szCs w:val="22"/>
        </w:rPr>
        <w:t>has total payments in the calendar year exceeding $20,000</w:t>
      </w:r>
      <w:r w:rsidRPr="09E1B708">
        <w:rPr>
          <w:rFonts w:ascii="Garamond" w:hAnsi="Garamond" w:cstheme="minorBidi"/>
          <w:sz w:val="22"/>
          <w:szCs w:val="22"/>
        </w:rPr>
        <w:t>, a</w:t>
      </w:r>
      <w:r w:rsidR="4786F5D1" w:rsidRPr="09E1B708">
        <w:rPr>
          <w:rFonts w:ascii="Garamond" w:hAnsi="Garamond" w:cstheme="minorBidi"/>
          <w:sz w:val="22"/>
          <w:szCs w:val="22"/>
        </w:rPr>
        <w:t xml:space="preserve">re in the top 10 </w:t>
      </w:r>
      <w:r w:rsidR="7208966B" w:rsidRPr="09E1B708">
        <w:rPr>
          <w:rFonts w:ascii="Garamond" w:hAnsi="Garamond" w:cstheme="minorBidi"/>
          <w:sz w:val="22"/>
          <w:szCs w:val="22"/>
        </w:rPr>
        <w:t xml:space="preserve">highest </w:t>
      </w:r>
      <w:r w:rsidR="4786F5D1" w:rsidRPr="09E1B708">
        <w:rPr>
          <w:rFonts w:ascii="Garamond" w:hAnsi="Garamond" w:cstheme="minorBidi"/>
          <w:sz w:val="22"/>
          <w:szCs w:val="22"/>
        </w:rPr>
        <w:t>claims payments at the insurance category level</w:t>
      </w:r>
      <w:r w:rsidR="00DA73B7" w:rsidRPr="09E1B708">
        <w:rPr>
          <w:rFonts w:ascii="Garamond" w:hAnsi="Garamond" w:cstheme="minorBidi"/>
          <w:sz w:val="22"/>
          <w:szCs w:val="22"/>
        </w:rPr>
        <w:t xml:space="preserve">. </w:t>
      </w:r>
    </w:p>
    <w:p w14:paraId="5274CF2F" w14:textId="19043005" w:rsidR="002713AD" w:rsidRDefault="002713AD" w:rsidP="09E1B708">
      <w:pPr>
        <w:pStyle w:val="Default"/>
        <w:spacing w:line="276" w:lineRule="auto"/>
        <w:rPr>
          <w:rFonts w:ascii="Garamond" w:hAnsi="Garamond" w:cstheme="minorBidi"/>
          <w:sz w:val="22"/>
          <w:szCs w:val="22"/>
        </w:rPr>
      </w:pPr>
      <w:r w:rsidRPr="09E1B708">
        <w:rPr>
          <w:rFonts w:ascii="Garamond" w:hAnsi="Garamond" w:cstheme="minorBidi"/>
          <w:sz w:val="22"/>
          <w:szCs w:val="22"/>
        </w:rPr>
        <w:t xml:space="preserve"> Data for all provider groups who</w:t>
      </w:r>
      <w:r w:rsidR="22E9C99C" w:rsidRPr="09E1B708">
        <w:rPr>
          <w:rFonts w:ascii="Garamond" w:hAnsi="Garamond" w:cstheme="minorBidi"/>
          <w:sz w:val="22"/>
          <w:szCs w:val="22"/>
        </w:rPr>
        <w:t>se payments do not exceed $20,000</w:t>
      </w:r>
      <w:r w:rsidR="1244CEFE" w:rsidRPr="09E1B708">
        <w:rPr>
          <w:rFonts w:ascii="Garamond" w:hAnsi="Garamond" w:cstheme="minorBidi"/>
          <w:sz w:val="22"/>
          <w:szCs w:val="22"/>
        </w:rPr>
        <w:t xml:space="preserve"> nor</w:t>
      </w:r>
      <w:r w:rsidR="22E9C99C" w:rsidRPr="09E1B708">
        <w:rPr>
          <w:rFonts w:ascii="Garamond" w:hAnsi="Garamond" w:cstheme="minorBidi"/>
          <w:sz w:val="22"/>
          <w:szCs w:val="22"/>
        </w:rPr>
        <w:t xml:space="preserve"> </w:t>
      </w:r>
      <w:r w:rsidR="3C6478DC" w:rsidRPr="09E1B708">
        <w:rPr>
          <w:rFonts w:ascii="Garamond" w:hAnsi="Garamond" w:cstheme="minorBidi"/>
          <w:sz w:val="22"/>
          <w:szCs w:val="22"/>
        </w:rPr>
        <w:t>are not included in the uniform provider list</w:t>
      </w:r>
      <w:r w:rsidR="49CACBC9" w:rsidRPr="09E1B708">
        <w:rPr>
          <w:rFonts w:ascii="Garamond" w:hAnsi="Garamond" w:cstheme="minorBidi"/>
          <w:sz w:val="22"/>
          <w:szCs w:val="22"/>
        </w:rPr>
        <w:t xml:space="preserve"> and </w:t>
      </w:r>
      <w:r w:rsidR="3C6478DC" w:rsidRPr="09E1B708">
        <w:rPr>
          <w:rFonts w:ascii="Garamond" w:hAnsi="Garamond" w:cstheme="minorBidi"/>
          <w:sz w:val="22"/>
          <w:szCs w:val="22"/>
        </w:rPr>
        <w:t xml:space="preserve">are outside of the top 10 </w:t>
      </w:r>
      <w:r w:rsidR="13C335E7" w:rsidRPr="09E1B708">
        <w:rPr>
          <w:rFonts w:ascii="Garamond" w:hAnsi="Garamond" w:cstheme="minorBidi"/>
          <w:sz w:val="22"/>
          <w:szCs w:val="22"/>
        </w:rPr>
        <w:t xml:space="preserve">highest </w:t>
      </w:r>
      <w:r w:rsidR="3C6478DC" w:rsidRPr="09E1B708">
        <w:rPr>
          <w:rFonts w:ascii="Garamond" w:hAnsi="Garamond" w:cstheme="minorBidi"/>
          <w:sz w:val="22"/>
          <w:szCs w:val="22"/>
        </w:rPr>
        <w:t>claims payments at the insurance category level</w:t>
      </w:r>
      <w:r w:rsidR="0134028F" w:rsidRPr="09E1B708">
        <w:rPr>
          <w:rFonts w:ascii="Garamond" w:hAnsi="Garamond" w:cstheme="minorBidi"/>
          <w:sz w:val="22"/>
          <w:szCs w:val="22"/>
        </w:rPr>
        <w:t xml:space="preserve"> </w:t>
      </w:r>
      <w:r w:rsidRPr="09E1B708">
        <w:rPr>
          <w:rFonts w:ascii="Garamond" w:hAnsi="Garamond" w:cstheme="minorBidi"/>
          <w:sz w:val="22"/>
          <w:szCs w:val="22"/>
        </w:rPr>
        <w:t xml:space="preserve"> shall be reported in the appropriate aggregate OrgID (999998 for aggregate physicians not paid on a fee schedule, or 999999 for aggregate physicians paid on a fee schedule).</w:t>
      </w:r>
    </w:p>
    <w:p w14:paraId="24091B5E" w14:textId="683C6FDC" w:rsidR="003C7159" w:rsidRDefault="00401721" w:rsidP="00D94268">
      <w:pPr>
        <w:pStyle w:val="Default"/>
        <w:spacing w:line="276" w:lineRule="auto"/>
        <w:rPr>
          <w:rFonts w:ascii="Garamond" w:hAnsi="Garamond" w:cstheme="minorHAnsi"/>
          <w:sz w:val="22"/>
          <w:szCs w:val="22"/>
        </w:rPr>
      </w:pPr>
      <w:r w:rsidRPr="00401721">
        <w:rPr>
          <w:rFonts w:ascii="Garamond" w:hAnsi="Garamond" w:cstheme="minorHAnsi"/>
          <w:sz w:val="22"/>
          <w:szCs w:val="22"/>
        </w:rPr>
        <w:t xml:space="preserve"> </w:t>
      </w:r>
    </w:p>
    <w:p w14:paraId="6A38F16B" w14:textId="43C73D98" w:rsidR="0009782A" w:rsidRDefault="0009782A" w:rsidP="09E1B708">
      <w:pPr>
        <w:pStyle w:val="Default"/>
        <w:spacing w:line="276" w:lineRule="auto"/>
        <w:rPr>
          <w:rFonts w:ascii="Garamond" w:hAnsi="Garamond" w:cstheme="minorBidi"/>
          <w:sz w:val="22"/>
          <w:szCs w:val="22"/>
        </w:rPr>
      </w:pPr>
    </w:p>
    <w:p w14:paraId="4F047ADD" w14:textId="6B2C4C3B" w:rsidR="007A3C5F" w:rsidRPr="005C78DA" w:rsidRDefault="00B37DAA"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Payers shall report</w:t>
      </w:r>
      <w:r w:rsidR="007E6F05">
        <w:rPr>
          <w:rFonts w:ascii="Garamond" w:hAnsi="Garamond" w:cstheme="minorHAnsi"/>
          <w:sz w:val="22"/>
          <w:szCs w:val="22"/>
        </w:rPr>
        <w:t xml:space="preserve"> data for</w:t>
      </w:r>
      <w:r w:rsidRPr="005C78DA">
        <w:rPr>
          <w:rFonts w:ascii="Garamond" w:hAnsi="Garamond" w:cstheme="minorHAnsi"/>
          <w:sz w:val="22"/>
          <w:szCs w:val="22"/>
        </w:rPr>
        <w:t xml:space="preserve"> all remaining physician group</w:t>
      </w:r>
      <w:r w:rsidR="003C7159">
        <w:rPr>
          <w:rFonts w:ascii="Garamond" w:hAnsi="Garamond" w:cstheme="minorHAnsi"/>
          <w:sz w:val="22"/>
          <w:szCs w:val="22"/>
        </w:rPr>
        <w:t xml:space="preserve">s </w:t>
      </w:r>
      <w:r w:rsidRPr="005C78DA">
        <w:rPr>
          <w:rFonts w:ascii="Garamond" w:hAnsi="Garamond" w:cstheme="minorHAnsi"/>
          <w:sz w:val="22"/>
          <w:szCs w:val="22"/>
        </w:rPr>
        <w:t>in aggregate under OrgID 99999</w:t>
      </w:r>
      <w:r w:rsidR="00422B0D" w:rsidRPr="005C78DA">
        <w:rPr>
          <w:rFonts w:ascii="Garamond" w:hAnsi="Garamond" w:cstheme="minorHAnsi"/>
          <w:sz w:val="22"/>
          <w:szCs w:val="22"/>
        </w:rPr>
        <w:t>8 for aggregate physicians not paid on a fee schedule, or OrgID 999999 for aggregate physicians paid on a fee schedule</w:t>
      </w:r>
      <w:r w:rsidRPr="005C78DA">
        <w:rPr>
          <w:rFonts w:ascii="Garamond" w:hAnsi="Garamond" w:cstheme="minorHAnsi"/>
          <w:sz w:val="22"/>
          <w:szCs w:val="22"/>
        </w:rPr>
        <w:t>.</w:t>
      </w:r>
    </w:p>
    <w:p w14:paraId="79EA54E9" w14:textId="77777777" w:rsidR="007A3C5F" w:rsidRDefault="007A3C5F" w:rsidP="00D94268">
      <w:pPr>
        <w:pStyle w:val="Default"/>
        <w:spacing w:line="276" w:lineRule="auto"/>
        <w:rPr>
          <w:rFonts w:ascii="Garamond" w:hAnsi="Garamond" w:cstheme="minorHAnsi"/>
          <w:sz w:val="22"/>
          <w:szCs w:val="22"/>
        </w:rPr>
      </w:pPr>
    </w:p>
    <w:p w14:paraId="3D9BD650" w14:textId="4E8E220D" w:rsidR="008A1BD2" w:rsidRPr="00691FE1" w:rsidRDefault="008A1BD2" w:rsidP="00D94268">
      <w:pPr>
        <w:pStyle w:val="Default"/>
        <w:spacing w:line="276" w:lineRule="auto"/>
        <w:rPr>
          <w:rFonts w:ascii="Garamond" w:hAnsi="Garamond" w:cstheme="minorHAnsi"/>
          <w:b/>
          <w:bCs/>
          <w:sz w:val="22"/>
          <w:szCs w:val="22"/>
        </w:rPr>
      </w:pPr>
      <w:r w:rsidRPr="09E1B708">
        <w:rPr>
          <w:rFonts w:ascii="Garamond" w:hAnsi="Garamond" w:cstheme="minorBidi"/>
          <w:b/>
          <w:bCs/>
          <w:sz w:val="22"/>
          <w:szCs w:val="22"/>
        </w:rPr>
        <w:t>Determining Thresholds for Physician Group Aggregate Reporting</w:t>
      </w:r>
    </w:p>
    <w:p w14:paraId="5CD551F8" w14:textId="602E4C11" w:rsidR="0016504A" w:rsidRDefault="7C02D81B" w:rsidP="00D94268">
      <w:pPr>
        <w:pStyle w:val="Default"/>
        <w:spacing w:line="276" w:lineRule="auto"/>
      </w:pPr>
      <w:r>
        <w:rPr>
          <w:noProof/>
        </w:rPr>
        <w:drawing>
          <wp:inline distT="0" distB="0" distL="0" distR="0" wp14:anchorId="19FDBC72" wp14:editId="758C9861">
            <wp:extent cx="6496050" cy="4362847"/>
            <wp:effectExtent l="0" t="0" r="0" b="0"/>
            <wp:docPr id="648966439" name="Picture 64896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96050" cy="4362847"/>
                    </a:xfrm>
                    <a:prstGeom prst="rect">
                      <a:avLst/>
                    </a:prstGeom>
                  </pic:spPr>
                </pic:pic>
              </a:graphicData>
            </a:graphic>
          </wp:inline>
        </w:drawing>
      </w:r>
    </w:p>
    <w:p w14:paraId="1BAF1F21" w14:textId="77777777" w:rsidR="0016504A" w:rsidRDefault="0016504A" w:rsidP="00D94268">
      <w:pPr>
        <w:pStyle w:val="Default"/>
        <w:spacing w:line="276" w:lineRule="auto"/>
        <w:rPr>
          <w:rFonts w:ascii="Garamond" w:hAnsi="Garamond" w:cstheme="minorHAnsi"/>
          <w:sz w:val="22"/>
          <w:szCs w:val="22"/>
        </w:rPr>
      </w:pPr>
    </w:p>
    <w:p w14:paraId="48188965" w14:textId="77777777" w:rsidR="0016504A" w:rsidRDefault="0016504A" w:rsidP="00D94268">
      <w:pPr>
        <w:pStyle w:val="Default"/>
        <w:spacing w:line="276" w:lineRule="auto"/>
        <w:rPr>
          <w:rFonts w:ascii="Garamond" w:hAnsi="Garamond" w:cstheme="minorHAnsi"/>
          <w:sz w:val="22"/>
          <w:szCs w:val="22"/>
        </w:rPr>
      </w:pPr>
    </w:p>
    <w:p w14:paraId="7978731B" w14:textId="77777777" w:rsidR="0016504A" w:rsidRDefault="0016504A" w:rsidP="00D94268">
      <w:pPr>
        <w:pStyle w:val="Default"/>
        <w:spacing w:line="276" w:lineRule="auto"/>
        <w:rPr>
          <w:rFonts w:ascii="Garamond" w:hAnsi="Garamond" w:cstheme="minorHAnsi"/>
          <w:sz w:val="22"/>
          <w:szCs w:val="22"/>
        </w:rPr>
      </w:pPr>
    </w:p>
    <w:p w14:paraId="29947A45" w14:textId="77777777" w:rsidR="00400D14" w:rsidRDefault="00400D14" w:rsidP="00D94268">
      <w:pPr>
        <w:pStyle w:val="Default"/>
        <w:spacing w:line="276" w:lineRule="auto"/>
        <w:rPr>
          <w:rFonts w:ascii="Garamond" w:hAnsi="Garamond" w:cstheme="minorHAnsi"/>
          <w:sz w:val="22"/>
          <w:szCs w:val="22"/>
        </w:rPr>
      </w:pPr>
    </w:p>
    <w:p w14:paraId="08A7E4DE" w14:textId="77777777" w:rsidR="001648EE" w:rsidRDefault="001648EE" w:rsidP="00D94268">
      <w:pPr>
        <w:pStyle w:val="Default"/>
        <w:spacing w:line="276" w:lineRule="auto"/>
        <w:rPr>
          <w:rFonts w:ascii="Garamond" w:hAnsi="Garamond" w:cstheme="minorHAnsi"/>
          <w:sz w:val="22"/>
          <w:szCs w:val="22"/>
        </w:rPr>
      </w:pPr>
    </w:p>
    <w:p w14:paraId="114054A3" w14:textId="78333798" w:rsidR="00812ED8" w:rsidRDefault="008724E0">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For all other provider types, </w:t>
      </w:r>
      <w:r w:rsidR="00812ED8">
        <w:rPr>
          <w:rFonts w:ascii="Garamond" w:hAnsi="Garamond" w:cstheme="minorHAnsi"/>
          <w:sz w:val="22"/>
          <w:szCs w:val="22"/>
        </w:rPr>
        <w:t xml:space="preserve">payers are to report as individual entities </w:t>
      </w:r>
      <w:r w:rsidR="00812ED8" w:rsidRPr="00420172">
        <w:rPr>
          <w:rFonts w:ascii="Garamond" w:hAnsi="Garamond" w:cstheme="minorHAnsi"/>
          <w:b/>
          <w:bCs/>
          <w:sz w:val="22"/>
          <w:szCs w:val="22"/>
        </w:rPr>
        <w:t>only</w:t>
      </w:r>
      <w:r w:rsidR="00812ED8">
        <w:rPr>
          <w:rFonts w:ascii="Garamond" w:hAnsi="Garamond" w:cstheme="minorHAnsi"/>
          <w:sz w:val="22"/>
          <w:szCs w:val="22"/>
        </w:rPr>
        <w:t xml:space="preserve"> those provider groups whose total payments in the calendar year exceeded $20,000. Payers </w:t>
      </w:r>
      <w:r w:rsidR="00812ED8" w:rsidRPr="005C78DA">
        <w:rPr>
          <w:rFonts w:ascii="Garamond" w:hAnsi="Garamond" w:cstheme="minorHAnsi"/>
          <w:sz w:val="22"/>
          <w:szCs w:val="22"/>
        </w:rPr>
        <w:t>are to report the</w:t>
      </w:r>
      <w:r w:rsidR="00812ED8">
        <w:rPr>
          <w:rFonts w:ascii="Garamond" w:hAnsi="Garamond" w:cstheme="minorHAnsi"/>
          <w:sz w:val="22"/>
          <w:szCs w:val="22"/>
        </w:rPr>
        <w:t>se</w:t>
      </w:r>
      <w:r w:rsidR="00812ED8" w:rsidRPr="005C78DA">
        <w:rPr>
          <w:rFonts w:ascii="Garamond" w:hAnsi="Garamond" w:cstheme="minorHAnsi"/>
          <w:sz w:val="22"/>
          <w:szCs w:val="22"/>
        </w:rPr>
        <w:t xml:space="preserve"> top </w:t>
      </w:r>
      <w:r w:rsidR="00812ED8">
        <w:rPr>
          <w:rFonts w:ascii="Garamond" w:hAnsi="Garamond" w:cstheme="minorHAnsi"/>
          <w:sz w:val="22"/>
          <w:szCs w:val="22"/>
        </w:rPr>
        <w:t>organizations</w:t>
      </w:r>
      <w:r w:rsidR="00812ED8" w:rsidRPr="005C78DA">
        <w:rPr>
          <w:rFonts w:ascii="Garamond" w:hAnsi="Garamond" w:cstheme="minorHAnsi"/>
          <w:sz w:val="22"/>
          <w:szCs w:val="22"/>
        </w:rPr>
        <w:t xml:space="preserve"> based on share of total payments</w:t>
      </w:r>
      <w:r w:rsidR="00812ED8">
        <w:rPr>
          <w:rFonts w:ascii="Garamond" w:hAnsi="Garamond" w:cstheme="minorHAnsi"/>
          <w:sz w:val="22"/>
          <w:szCs w:val="22"/>
        </w:rPr>
        <w:t xml:space="preserve"> to the parent provider</w:t>
      </w:r>
      <w:r w:rsidR="00812ED8" w:rsidRPr="005C78DA">
        <w:rPr>
          <w:rFonts w:ascii="Garamond" w:hAnsi="Garamond" w:cstheme="minorHAnsi"/>
          <w:sz w:val="22"/>
          <w:szCs w:val="22"/>
        </w:rPr>
        <w:t>, according to their contractual relationships</w:t>
      </w:r>
      <w:r w:rsidR="00812ED8">
        <w:rPr>
          <w:rFonts w:ascii="Garamond" w:hAnsi="Garamond" w:cstheme="minorHAnsi"/>
          <w:sz w:val="22"/>
          <w:szCs w:val="22"/>
        </w:rPr>
        <w:t>, as individual entities until 80% of total payer payments to all provider groups are represented. Data for all provider groups who received less than $20,000 in payments in the calendar year shall be reported in the appropriate aggregate OrgID according to the table below.</w:t>
      </w:r>
    </w:p>
    <w:p w14:paraId="304307F7" w14:textId="02BFEB40" w:rsidR="00812ED8" w:rsidRDefault="00812ED8">
      <w:pPr>
        <w:pStyle w:val="Default"/>
        <w:spacing w:line="276" w:lineRule="auto"/>
        <w:rPr>
          <w:rFonts w:ascii="Garamond" w:hAnsi="Garamond" w:cstheme="minorHAnsi"/>
          <w:sz w:val="22"/>
          <w:szCs w:val="22"/>
        </w:rPr>
      </w:pPr>
      <w:r w:rsidRPr="00401721">
        <w:rPr>
          <w:rFonts w:ascii="Garamond" w:hAnsi="Garamond" w:cstheme="minorHAnsi"/>
          <w:sz w:val="22"/>
          <w:szCs w:val="22"/>
        </w:rPr>
        <w:t xml:space="preserve"> </w:t>
      </w:r>
    </w:p>
    <w:p w14:paraId="16955B89" w14:textId="2C851975" w:rsidR="00812ED8" w:rsidRDefault="00812ED8">
      <w:pPr>
        <w:pStyle w:val="Default"/>
        <w:spacing w:line="276" w:lineRule="auto"/>
        <w:rPr>
          <w:rFonts w:ascii="Garamond" w:hAnsi="Garamond" w:cstheme="minorHAnsi"/>
          <w:sz w:val="22"/>
          <w:szCs w:val="22"/>
        </w:rPr>
      </w:pPr>
      <w:r>
        <w:rPr>
          <w:rFonts w:ascii="Garamond" w:hAnsi="Garamond" w:cstheme="minorHAnsi"/>
          <w:sz w:val="22"/>
          <w:szCs w:val="22"/>
        </w:rPr>
        <w:t xml:space="preserve">In the event that greater than 20% of total payments to all other provider groups have already been assigned to aggregate OrgIDs due to the $20,000 individual reporting threshold, it will not be possible to represent 80% of total payments made to all provider groups as individual entities. This is permissible, however, CHIA may contact the payer to confirm the reason for reporting less than 80% of total payments made to all provider groups as individual entities. </w:t>
      </w:r>
    </w:p>
    <w:p w14:paraId="7AE55136" w14:textId="77777777" w:rsidR="00812ED8" w:rsidRDefault="00812ED8">
      <w:pPr>
        <w:pStyle w:val="Default"/>
        <w:spacing w:line="276" w:lineRule="auto"/>
        <w:rPr>
          <w:rFonts w:ascii="Garamond" w:hAnsi="Garamond" w:cstheme="minorHAnsi"/>
          <w:sz w:val="22"/>
          <w:szCs w:val="22"/>
        </w:rPr>
      </w:pPr>
    </w:p>
    <w:p w14:paraId="6031ECDF" w14:textId="1198E94A" w:rsidR="00BC6843" w:rsidRDefault="00812ED8" w:rsidP="00812ED8">
      <w:pPr>
        <w:pStyle w:val="Default"/>
        <w:spacing w:line="276" w:lineRule="auto"/>
        <w:rPr>
          <w:rFonts w:ascii="Garamond" w:hAnsi="Garamond" w:cstheme="minorHAnsi"/>
          <w:sz w:val="22"/>
          <w:szCs w:val="22"/>
        </w:rPr>
      </w:pPr>
      <w:r w:rsidRPr="005C78DA">
        <w:rPr>
          <w:rFonts w:ascii="Garamond" w:hAnsi="Garamond" w:cstheme="minorHAnsi"/>
          <w:sz w:val="22"/>
          <w:szCs w:val="22"/>
        </w:rPr>
        <w:t>Payers shall report</w:t>
      </w:r>
      <w:r>
        <w:rPr>
          <w:rFonts w:ascii="Garamond" w:hAnsi="Garamond" w:cstheme="minorHAnsi"/>
          <w:sz w:val="22"/>
          <w:szCs w:val="22"/>
        </w:rPr>
        <w:t xml:space="preserve"> data for</w:t>
      </w:r>
      <w:r w:rsidRPr="005C78DA">
        <w:rPr>
          <w:rFonts w:ascii="Garamond" w:hAnsi="Garamond" w:cstheme="minorHAnsi"/>
          <w:sz w:val="22"/>
          <w:szCs w:val="22"/>
        </w:rPr>
        <w:t xml:space="preserve"> all remaining </w:t>
      </w:r>
      <w:r>
        <w:rPr>
          <w:rFonts w:ascii="Garamond" w:hAnsi="Garamond" w:cstheme="minorHAnsi"/>
          <w:sz w:val="22"/>
          <w:szCs w:val="22"/>
        </w:rPr>
        <w:t>provider groups</w:t>
      </w:r>
      <w:r w:rsidRPr="005C78DA">
        <w:rPr>
          <w:rFonts w:ascii="Garamond" w:hAnsi="Garamond" w:cstheme="minorHAnsi"/>
          <w:sz w:val="22"/>
          <w:szCs w:val="22"/>
        </w:rPr>
        <w:t xml:space="preserve"> group</w:t>
      </w:r>
      <w:r>
        <w:rPr>
          <w:rFonts w:ascii="Garamond" w:hAnsi="Garamond" w:cstheme="minorHAnsi"/>
          <w:sz w:val="22"/>
          <w:szCs w:val="22"/>
        </w:rPr>
        <w:t xml:space="preserve">s </w:t>
      </w:r>
      <w:r w:rsidRPr="005C78DA">
        <w:rPr>
          <w:rFonts w:ascii="Garamond" w:hAnsi="Garamond" w:cstheme="minorHAnsi"/>
          <w:sz w:val="22"/>
          <w:szCs w:val="22"/>
        </w:rPr>
        <w:t xml:space="preserve">in aggregate under </w:t>
      </w:r>
      <w:r>
        <w:rPr>
          <w:rFonts w:ascii="Garamond" w:hAnsi="Garamond" w:cstheme="minorHAnsi"/>
          <w:sz w:val="22"/>
          <w:szCs w:val="22"/>
        </w:rPr>
        <w:t xml:space="preserve">the appropriate aggregate OrgID according to the table below. </w:t>
      </w:r>
    </w:p>
    <w:p w14:paraId="3EB407D0" w14:textId="77777777" w:rsidR="00BC6843" w:rsidRDefault="00BC6843" w:rsidP="00812ED8">
      <w:pPr>
        <w:pStyle w:val="Default"/>
        <w:spacing w:line="276" w:lineRule="auto"/>
        <w:rPr>
          <w:rFonts w:ascii="Garamond" w:hAnsi="Garamond" w:cstheme="minorHAnsi"/>
          <w:sz w:val="22"/>
          <w:szCs w:val="22"/>
        </w:rPr>
      </w:pPr>
    </w:p>
    <w:p w14:paraId="3EA04D88" w14:textId="77777777" w:rsidR="00BC6843" w:rsidRPr="005C78DA" w:rsidRDefault="00BC6843" w:rsidP="00812ED8">
      <w:pPr>
        <w:pStyle w:val="Default"/>
        <w:spacing w:line="276" w:lineRule="auto"/>
        <w:rPr>
          <w:rFonts w:ascii="Garamond" w:hAnsi="Garamond" w:cstheme="minorHAnsi"/>
          <w:sz w:val="22"/>
          <w:szCs w:val="22"/>
        </w:rPr>
      </w:pPr>
    </w:p>
    <w:tbl>
      <w:tblPr>
        <w:tblStyle w:val="TableGrid"/>
        <w:tblW w:w="0" w:type="auto"/>
        <w:tblInd w:w="1500" w:type="dxa"/>
        <w:tblLook w:val="04A0" w:firstRow="1" w:lastRow="0" w:firstColumn="1" w:lastColumn="0" w:noHBand="0" w:noVBand="1"/>
      </w:tblPr>
      <w:tblGrid>
        <w:gridCol w:w="4248"/>
        <w:gridCol w:w="1170"/>
      </w:tblGrid>
      <w:tr w:rsidR="00B37DAA" w:rsidRPr="00A55866" w14:paraId="0B96174F" w14:textId="77777777" w:rsidTr="00113CDF">
        <w:tc>
          <w:tcPr>
            <w:tcW w:w="4248" w:type="dxa"/>
            <w:shd w:val="clear" w:color="auto" w:fill="BFBFBF" w:themeFill="background1" w:themeFillShade="BF"/>
          </w:tcPr>
          <w:p w14:paraId="34FC8B2A" w14:textId="77777777" w:rsidR="00B37DAA" w:rsidRPr="005C78DA" w:rsidRDefault="00B37DAA" w:rsidP="00D94268">
            <w:pPr>
              <w:spacing w:line="276" w:lineRule="auto"/>
              <w:rPr>
                <w:rFonts w:ascii="Garamond" w:hAnsi="Garamond" w:cstheme="minorHAnsi"/>
                <w:b/>
                <w:bCs/>
                <w:sz w:val="22"/>
                <w:szCs w:val="22"/>
              </w:rPr>
            </w:pPr>
            <w:r w:rsidRPr="005C78DA">
              <w:rPr>
                <w:rFonts w:ascii="Garamond" w:hAnsi="Garamond" w:cstheme="minorHAnsi"/>
                <w:b/>
                <w:bCs/>
                <w:sz w:val="22"/>
                <w:szCs w:val="22"/>
              </w:rPr>
              <w:t>Aggregate Organization Type</w:t>
            </w:r>
          </w:p>
        </w:tc>
        <w:tc>
          <w:tcPr>
            <w:tcW w:w="1170" w:type="dxa"/>
            <w:shd w:val="clear" w:color="auto" w:fill="BFBFBF" w:themeFill="background1" w:themeFillShade="BF"/>
          </w:tcPr>
          <w:p w14:paraId="5773ABE3" w14:textId="77777777" w:rsidR="00B37DAA" w:rsidRPr="005C78DA" w:rsidRDefault="00B37DAA" w:rsidP="00D94268">
            <w:pPr>
              <w:spacing w:line="276" w:lineRule="auto"/>
              <w:rPr>
                <w:rFonts w:ascii="Garamond" w:hAnsi="Garamond" w:cstheme="minorHAnsi"/>
                <w:b/>
                <w:bCs/>
                <w:sz w:val="22"/>
                <w:szCs w:val="22"/>
              </w:rPr>
            </w:pPr>
            <w:r w:rsidRPr="005C78DA">
              <w:rPr>
                <w:rFonts w:ascii="Garamond" w:hAnsi="Garamond" w:cstheme="minorHAnsi"/>
                <w:b/>
                <w:bCs/>
                <w:sz w:val="22"/>
                <w:szCs w:val="22"/>
              </w:rPr>
              <w:t>OrgID</w:t>
            </w:r>
          </w:p>
        </w:tc>
      </w:tr>
      <w:tr w:rsidR="00B37DAA" w:rsidRPr="00A55866" w14:paraId="25BAD47C" w14:textId="77777777" w:rsidTr="0052532E">
        <w:tc>
          <w:tcPr>
            <w:tcW w:w="4248" w:type="dxa"/>
          </w:tcPr>
          <w:p w14:paraId="1808DE22"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Ambulatory Surgical Centers</w:t>
            </w:r>
          </w:p>
        </w:tc>
        <w:tc>
          <w:tcPr>
            <w:tcW w:w="1170" w:type="dxa"/>
          </w:tcPr>
          <w:p w14:paraId="273E8D2E"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999901</w:t>
            </w:r>
          </w:p>
        </w:tc>
      </w:tr>
      <w:tr w:rsidR="00B37DAA" w:rsidRPr="00A55866" w14:paraId="41EE9A76" w14:textId="77777777" w:rsidTr="0052532E">
        <w:tc>
          <w:tcPr>
            <w:tcW w:w="4248" w:type="dxa"/>
          </w:tcPr>
          <w:p w14:paraId="0B766A6C"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Community Health Centers</w:t>
            </w:r>
          </w:p>
        </w:tc>
        <w:tc>
          <w:tcPr>
            <w:tcW w:w="1170" w:type="dxa"/>
          </w:tcPr>
          <w:p w14:paraId="58DD6EC0"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999902</w:t>
            </w:r>
          </w:p>
        </w:tc>
      </w:tr>
      <w:tr w:rsidR="00B37DAA" w:rsidRPr="00A55866" w14:paraId="3A897CE1" w14:textId="77777777" w:rsidTr="0052532E">
        <w:tc>
          <w:tcPr>
            <w:tcW w:w="4248" w:type="dxa"/>
          </w:tcPr>
          <w:p w14:paraId="79A86B1E"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Community Mental Health Centers</w:t>
            </w:r>
          </w:p>
        </w:tc>
        <w:tc>
          <w:tcPr>
            <w:tcW w:w="1170" w:type="dxa"/>
          </w:tcPr>
          <w:p w14:paraId="4D225E53" w14:textId="77777777" w:rsidR="00B37DAA" w:rsidRPr="005C78DA" w:rsidRDefault="00B37DAA" w:rsidP="00D94268">
            <w:pPr>
              <w:spacing w:line="276" w:lineRule="auto"/>
              <w:rPr>
                <w:rFonts w:ascii="Garamond" w:hAnsi="Garamond" w:cstheme="minorHAnsi"/>
                <w:bCs/>
                <w:sz w:val="22"/>
                <w:szCs w:val="22"/>
              </w:rPr>
            </w:pPr>
            <w:r w:rsidRPr="005C78DA">
              <w:rPr>
                <w:rFonts w:ascii="Garamond" w:hAnsi="Garamond" w:cstheme="minorHAnsi"/>
                <w:bCs/>
                <w:sz w:val="22"/>
                <w:szCs w:val="22"/>
              </w:rPr>
              <w:t>999903</w:t>
            </w:r>
          </w:p>
        </w:tc>
      </w:tr>
      <w:tr w:rsidR="00B37DAA" w:rsidRPr="00A55866" w14:paraId="47FABE70" w14:textId="77777777" w:rsidTr="0052532E">
        <w:tc>
          <w:tcPr>
            <w:tcW w:w="4248" w:type="dxa"/>
          </w:tcPr>
          <w:p w14:paraId="47889EB3"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Clinical Laboratories</w:t>
            </w:r>
          </w:p>
        </w:tc>
        <w:tc>
          <w:tcPr>
            <w:tcW w:w="1170" w:type="dxa"/>
          </w:tcPr>
          <w:p w14:paraId="5F3D267F"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999904</w:t>
            </w:r>
          </w:p>
        </w:tc>
      </w:tr>
      <w:tr w:rsidR="00B37DAA" w:rsidRPr="00A55866" w14:paraId="572472C4" w14:textId="77777777" w:rsidTr="0052532E">
        <w:tc>
          <w:tcPr>
            <w:tcW w:w="4248" w:type="dxa"/>
          </w:tcPr>
          <w:p w14:paraId="7968A287"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Freestanding Diagnostic Imaging Centers</w:t>
            </w:r>
          </w:p>
        </w:tc>
        <w:tc>
          <w:tcPr>
            <w:tcW w:w="1170" w:type="dxa"/>
          </w:tcPr>
          <w:p w14:paraId="3E301F10"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999905</w:t>
            </w:r>
          </w:p>
        </w:tc>
      </w:tr>
      <w:tr w:rsidR="00B37DAA" w:rsidRPr="00A55866" w14:paraId="5868D5E0" w14:textId="77777777" w:rsidTr="0052532E">
        <w:tc>
          <w:tcPr>
            <w:tcW w:w="4248" w:type="dxa"/>
          </w:tcPr>
          <w:p w14:paraId="2C53ADC2"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Home Health Agencies</w:t>
            </w:r>
          </w:p>
        </w:tc>
        <w:tc>
          <w:tcPr>
            <w:tcW w:w="1170" w:type="dxa"/>
          </w:tcPr>
          <w:p w14:paraId="213DBC2D"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999906</w:t>
            </w:r>
          </w:p>
        </w:tc>
      </w:tr>
      <w:tr w:rsidR="00B37DAA" w:rsidRPr="00A55866" w14:paraId="601F59CF" w14:textId="77777777" w:rsidTr="0052532E">
        <w:tc>
          <w:tcPr>
            <w:tcW w:w="4248" w:type="dxa"/>
          </w:tcPr>
          <w:p w14:paraId="48E1CFCF"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Skilled Nursing Facilities</w:t>
            </w:r>
          </w:p>
        </w:tc>
        <w:tc>
          <w:tcPr>
            <w:tcW w:w="1170" w:type="dxa"/>
          </w:tcPr>
          <w:p w14:paraId="19EE2573" w14:textId="77777777" w:rsidR="00B37DAA" w:rsidRPr="005C78DA" w:rsidRDefault="00CF749B" w:rsidP="00D94268">
            <w:pPr>
              <w:spacing w:line="276" w:lineRule="auto"/>
              <w:rPr>
                <w:rFonts w:ascii="Garamond" w:hAnsi="Garamond" w:cstheme="minorHAnsi"/>
                <w:bCs/>
                <w:sz w:val="22"/>
                <w:szCs w:val="22"/>
              </w:rPr>
            </w:pPr>
            <w:r w:rsidRPr="005C78DA">
              <w:rPr>
                <w:rFonts w:ascii="Garamond" w:hAnsi="Garamond" w:cstheme="minorHAnsi"/>
                <w:bCs/>
                <w:sz w:val="22"/>
                <w:szCs w:val="22"/>
              </w:rPr>
              <w:t>999907</w:t>
            </w:r>
          </w:p>
        </w:tc>
      </w:tr>
    </w:tbl>
    <w:p w14:paraId="4FB4AEB9" w14:textId="77777777" w:rsidR="00BC6843" w:rsidRDefault="00BC6843" w:rsidP="00BC6843">
      <w:pPr>
        <w:pStyle w:val="Default"/>
        <w:spacing w:line="276" w:lineRule="auto"/>
        <w:rPr>
          <w:rFonts w:ascii="Garamond" w:hAnsi="Garamond" w:cstheme="minorHAnsi"/>
          <w:b/>
          <w:bCs/>
          <w:sz w:val="22"/>
          <w:szCs w:val="22"/>
        </w:rPr>
      </w:pPr>
    </w:p>
    <w:p w14:paraId="1939D701" w14:textId="77777777" w:rsidR="00BC6843" w:rsidRDefault="00BC6843" w:rsidP="00BC6843">
      <w:pPr>
        <w:pStyle w:val="Default"/>
        <w:spacing w:line="276" w:lineRule="auto"/>
        <w:rPr>
          <w:rFonts w:ascii="Garamond" w:hAnsi="Garamond" w:cstheme="minorHAnsi"/>
          <w:b/>
          <w:bCs/>
          <w:sz w:val="22"/>
          <w:szCs w:val="22"/>
        </w:rPr>
      </w:pPr>
    </w:p>
    <w:p w14:paraId="29E0F5A5" w14:textId="77777777" w:rsidR="00BC6843" w:rsidRDefault="00BC6843" w:rsidP="00BC6843">
      <w:pPr>
        <w:pStyle w:val="Default"/>
        <w:spacing w:line="276" w:lineRule="auto"/>
        <w:rPr>
          <w:rFonts w:ascii="Garamond" w:hAnsi="Garamond" w:cstheme="minorHAnsi"/>
          <w:b/>
          <w:bCs/>
          <w:sz w:val="22"/>
          <w:szCs w:val="22"/>
        </w:rPr>
      </w:pPr>
    </w:p>
    <w:p w14:paraId="6E231996" w14:textId="77777777" w:rsidR="00BC6843" w:rsidRDefault="00BC6843" w:rsidP="00BC6843">
      <w:pPr>
        <w:pStyle w:val="Default"/>
        <w:spacing w:line="276" w:lineRule="auto"/>
        <w:rPr>
          <w:rFonts w:ascii="Garamond" w:hAnsi="Garamond" w:cstheme="minorHAnsi"/>
          <w:b/>
          <w:bCs/>
          <w:sz w:val="22"/>
          <w:szCs w:val="22"/>
        </w:rPr>
      </w:pPr>
    </w:p>
    <w:p w14:paraId="7EB5388E" w14:textId="77777777" w:rsidR="00BC6843" w:rsidRDefault="00BC6843" w:rsidP="00BC6843">
      <w:pPr>
        <w:pStyle w:val="Default"/>
        <w:spacing w:line="276" w:lineRule="auto"/>
        <w:rPr>
          <w:rFonts w:ascii="Garamond" w:hAnsi="Garamond" w:cstheme="minorHAnsi"/>
          <w:b/>
          <w:bCs/>
          <w:sz w:val="22"/>
          <w:szCs w:val="22"/>
        </w:rPr>
      </w:pPr>
    </w:p>
    <w:p w14:paraId="224902C0" w14:textId="77777777" w:rsidR="00BC6843" w:rsidRDefault="00BC6843" w:rsidP="00BC6843">
      <w:pPr>
        <w:pStyle w:val="Default"/>
        <w:spacing w:line="276" w:lineRule="auto"/>
        <w:rPr>
          <w:rFonts w:ascii="Garamond" w:hAnsi="Garamond" w:cstheme="minorHAnsi"/>
          <w:b/>
          <w:bCs/>
          <w:sz w:val="22"/>
          <w:szCs w:val="22"/>
        </w:rPr>
      </w:pPr>
    </w:p>
    <w:p w14:paraId="534AD90B" w14:textId="77777777" w:rsidR="00BC6843" w:rsidRDefault="00BC6843" w:rsidP="00BC6843">
      <w:pPr>
        <w:pStyle w:val="Default"/>
        <w:spacing w:line="276" w:lineRule="auto"/>
        <w:rPr>
          <w:rFonts w:ascii="Garamond" w:hAnsi="Garamond" w:cstheme="minorHAnsi"/>
          <w:b/>
          <w:bCs/>
          <w:sz w:val="22"/>
          <w:szCs w:val="22"/>
        </w:rPr>
      </w:pPr>
    </w:p>
    <w:p w14:paraId="3BA21429" w14:textId="77777777" w:rsidR="00BC6843" w:rsidRDefault="00BC6843" w:rsidP="00BC6843">
      <w:pPr>
        <w:pStyle w:val="Default"/>
        <w:spacing w:line="276" w:lineRule="auto"/>
        <w:rPr>
          <w:rFonts w:ascii="Garamond" w:hAnsi="Garamond" w:cstheme="minorHAnsi"/>
          <w:b/>
          <w:bCs/>
          <w:sz w:val="22"/>
          <w:szCs w:val="22"/>
        </w:rPr>
      </w:pPr>
    </w:p>
    <w:p w14:paraId="2B64D1C7" w14:textId="77777777" w:rsidR="00BC6843" w:rsidRDefault="00BC6843" w:rsidP="09E1B708">
      <w:pPr>
        <w:pStyle w:val="Default"/>
        <w:spacing w:line="276" w:lineRule="auto"/>
        <w:rPr>
          <w:rFonts w:ascii="Garamond" w:hAnsi="Garamond" w:cstheme="minorBidi"/>
          <w:b/>
          <w:bCs/>
          <w:sz w:val="22"/>
          <w:szCs w:val="22"/>
        </w:rPr>
      </w:pPr>
    </w:p>
    <w:p w14:paraId="090D2DA4" w14:textId="1DFFEDD3" w:rsidR="09E1B708" w:rsidRDefault="09E1B708" w:rsidP="09E1B708">
      <w:pPr>
        <w:pStyle w:val="Default"/>
        <w:spacing w:line="276" w:lineRule="auto"/>
        <w:rPr>
          <w:rFonts w:ascii="Garamond" w:hAnsi="Garamond" w:cstheme="minorBidi"/>
          <w:b/>
          <w:bCs/>
          <w:sz w:val="22"/>
          <w:szCs w:val="22"/>
        </w:rPr>
      </w:pPr>
    </w:p>
    <w:p w14:paraId="22D33B40" w14:textId="1C40E907" w:rsidR="09E1B708" w:rsidRDefault="09E1B708" w:rsidP="09E1B708">
      <w:pPr>
        <w:pStyle w:val="Default"/>
        <w:spacing w:line="276" w:lineRule="auto"/>
        <w:rPr>
          <w:rFonts w:ascii="Garamond" w:hAnsi="Garamond" w:cstheme="minorBidi"/>
          <w:b/>
          <w:bCs/>
          <w:sz w:val="22"/>
          <w:szCs w:val="22"/>
        </w:rPr>
      </w:pPr>
    </w:p>
    <w:p w14:paraId="011D7B0C" w14:textId="21B278A7" w:rsidR="09E1B708" w:rsidRDefault="09E1B708" w:rsidP="09E1B708">
      <w:pPr>
        <w:pStyle w:val="Default"/>
        <w:spacing w:line="276" w:lineRule="auto"/>
        <w:rPr>
          <w:rFonts w:ascii="Garamond" w:hAnsi="Garamond" w:cstheme="minorBidi"/>
          <w:b/>
          <w:bCs/>
          <w:sz w:val="22"/>
          <w:szCs w:val="22"/>
        </w:rPr>
      </w:pPr>
    </w:p>
    <w:p w14:paraId="01D825AD" w14:textId="20AD3E90" w:rsidR="09E1B708" w:rsidRDefault="09E1B708" w:rsidP="09E1B708">
      <w:pPr>
        <w:pStyle w:val="Default"/>
        <w:spacing w:line="276" w:lineRule="auto"/>
        <w:rPr>
          <w:rFonts w:ascii="Garamond" w:hAnsi="Garamond" w:cstheme="minorBidi"/>
          <w:b/>
          <w:bCs/>
          <w:sz w:val="22"/>
          <w:szCs w:val="22"/>
        </w:rPr>
      </w:pPr>
    </w:p>
    <w:p w14:paraId="552CB118" w14:textId="62C3EB06" w:rsidR="09E1B708" w:rsidRDefault="09E1B708" w:rsidP="09E1B708">
      <w:pPr>
        <w:pStyle w:val="Default"/>
        <w:spacing w:line="276" w:lineRule="auto"/>
        <w:rPr>
          <w:rFonts w:ascii="Garamond" w:hAnsi="Garamond" w:cstheme="minorBidi"/>
          <w:b/>
          <w:bCs/>
          <w:sz w:val="22"/>
          <w:szCs w:val="22"/>
        </w:rPr>
      </w:pPr>
    </w:p>
    <w:p w14:paraId="137626EF" w14:textId="77777777" w:rsidR="00BC6843" w:rsidRDefault="00BC6843" w:rsidP="00BC6843">
      <w:pPr>
        <w:pStyle w:val="Default"/>
        <w:spacing w:line="276" w:lineRule="auto"/>
        <w:rPr>
          <w:rFonts w:ascii="Garamond" w:hAnsi="Garamond" w:cstheme="minorHAnsi"/>
          <w:b/>
          <w:bCs/>
          <w:sz w:val="22"/>
          <w:szCs w:val="22"/>
        </w:rPr>
      </w:pPr>
    </w:p>
    <w:p w14:paraId="22DE6463" w14:textId="77777777" w:rsidR="00BC6843" w:rsidRDefault="00BC6843" w:rsidP="00BC6843">
      <w:pPr>
        <w:pStyle w:val="Default"/>
        <w:spacing w:line="276" w:lineRule="auto"/>
        <w:rPr>
          <w:rFonts w:ascii="Garamond" w:hAnsi="Garamond" w:cstheme="minorHAnsi"/>
          <w:b/>
          <w:bCs/>
          <w:sz w:val="22"/>
          <w:szCs w:val="22"/>
        </w:rPr>
      </w:pPr>
    </w:p>
    <w:p w14:paraId="5EC47F36" w14:textId="77777777" w:rsidR="00BC6843" w:rsidRDefault="00BC6843" w:rsidP="00BC6843">
      <w:pPr>
        <w:pStyle w:val="Default"/>
        <w:spacing w:line="276" w:lineRule="auto"/>
        <w:rPr>
          <w:rFonts w:ascii="Garamond" w:hAnsi="Garamond" w:cstheme="minorHAnsi"/>
          <w:b/>
          <w:bCs/>
          <w:sz w:val="22"/>
          <w:szCs w:val="22"/>
        </w:rPr>
      </w:pPr>
    </w:p>
    <w:p w14:paraId="308A4041" w14:textId="77777777" w:rsidR="00BC6843" w:rsidRDefault="00BC6843" w:rsidP="00BC6843">
      <w:pPr>
        <w:pStyle w:val="Default"/>
        <w:spacing w:line="276" w:lineRule="auto"/>
        <w:rPr>
          <w:rFonts w:ascii="Garamond" w:hAnsi="Garamond" w:cstheme="minorHAnsi"/>
          <w:b/>
          <w:bCs/>
          <w:sz w:val="22"/>
          <w:szCs w:val="22"/>
        </w:rPr>
      </w:pPr>
    </w:p>
    <w:p w14:paraId="3896FC99" w14:textId="77777777" w:rsidR="00BC6843" w:rsidRDefault="00BC6843" w:rsidP="00BC6843">
      <w:pPr>
        <w:pStyle w:val="Default"/>
        <w:spacing w:line="276" w:lineRule="auto"/>
        <w:rPr>
          <w:rFonts w:ascii="Garamond" w:hAnsi="Garamond" w:cstheme="minorHAnsi"/>
          <w:b/>
          <w:bCs/>
          <w:sz w:val="22"/>
          <w:szCs w:val="22"/>
        </w:rPr>
      </w:pPr>
    </w:p>
    <w:p w14:paraId="203BA6EE" w14:textId="112D1538" w:rsidR="00BC6843" w:rsidRPr="00420172" w:rsidRDefault="00BC6843" w:rsidP="00BC6843">
      <w:pPr>
        <w:pStyle w:val="Default"/>
        <w:spacing w:line="276" w:lineRule="auto"/>
        <w:rPr>
          <w:rFonts w:ascii="Garamond" w:hAnsi="Garamond" w:cstheme="minorHAnsi"/>
          <w:b/>
          <w:bCs/>
          <w:sz w:val="22"/>
          <w:szCs w:val="22"/>
        </w:rPr>
      </w:pPr>
      <w:r w:rsidRPr="00420172">
        <w:rPr>
          <w:rFonts w:ascii="Garamond" w:hAnsi="Garamond" w:cstheme="minorHAnsi"/>
          <w:b/>
          <w:bCs/>
          <w:sz w:val="22"/>
          <w:szCs w:val="22"/>
        </w:rPr>
        <w:t xml:space="preserve">Determining Thresholds for </w:t>
      </w:r>
      <w:r>
        <w:rPr>
          <w:rFonts w:ascii="Garamond" w:hAnsi="Garamond" w:cstheme="minorHAnsi"/>
          <w:b/>
          <w:bCs/>
          <w:sz w:val="22"/>
          <w:szCs w:val="22"/>
        </w:rPr>
        <w:t>Other Provider</w:t>
      </w:r>
      <w:r w:rsidRPr="00420172">
        <w:rPr>
          <w:rFonts w:ascii="Garamond" w:hAnsi="Garamond" w:cstheme="minorHAnsi"/>
          <w:b/>
          <w:bCs/>
          <w:sz w:val="22"/>
          <w:szCs w:val="22"/>
        </w:rPr>
        <w:t xml:space="preserve"> Aggregate Reporting</w:t>
      </w:r>
    </w:p>
    <w:p w14:paraId="2B7FC916" w14:textId="0B78E615" w:rsidR="00BC6843" w:rsidRDefault="004A0721" w:rsidP="145DF8D5">
      <w:pPr>
        <w:pStyle w:val="Default"/>
        <w:spacing w:line="276" w:lineRule="auto"/>
      </w:pPr>
      <w:r>
        <w:rPr>
          <w:rFonts w:ascii="Garamond" w:hAnsi="Garamond" w:cstheme="minorHAnsi"/>
          <w:noProof/>
          <w:sz w:val="22"/>
          <w:szCs w:val="22"/>
        </w:rPr>
        <mc:AlternateContent>
          <mc:Choice Requires="wps">
            <w:drawing>
              <wp:anchor distT="0" distB="0" distL="114300" distR="114300" simplePos="0" relativeHeight="251658243" behindDoc="0" locked="0" layoutInCell="1" allowOverlap="1" wp14:anchorId="35560CCC" wp14:editId="3907D90F">
                <wp:simplePos x="0" y="0"/>
                <wp:positionH relativeFrom="margin">
                  <wp:posOffset>3648075</wp:posOffset>
                </wp:positionH>
                <wp:positionV relativeFrom="paragraph">
                  <wp:posOffset>3020060</wp:posOffset>
                </wp:positionV>
                <wp:extent cx="1428115" cy="2780030"/>
                <wp:effectExtent l="0" t="0" r="19685" b="20320"/>
                <wp:wrapNone/>
                <wp:docPr id="1223374907" name="Rectangle: Rounded Corners 1"/>
                <wp:cNvGraphicFramePr/>
                <a:graphic xmlns:a="http://schemas.openxmlformats.org/drawingml/2006/main">
                  <a:graphicData uri="http://schemas.microsoft.com/office/word/2010/wordprocessingShape">
                    <wps:wsp>
                      <wps:cNvSpPr/>
                      <wps:spPr>
                        <a:xfrm>
                          <a:off x="0" y="0"/>
                          <a:ext cx="1428115" cy="2780030"/>
                        </a:xfrm>
                        <a:prstGeom prst="roundRect">
                          <a:avLst/>
                        </a:prstGeom>
                        <a:ln/>
                      </wps:spPr>
                      <wps:style>
                        <a:lnRef idx="2">
                          <a:schemeClr val="accent2"/>
                        </a:lnRef>
                        <a:fillRef idx="1">
                          <a:schemeClr val="lt1"/>
                        </a:fillRef>
                        <a:effectRef idx="0">
                          <a:scrgbClr r="0" g="0" b="0"/>
                        </a:effectRef>
                        <a:fontRef idx="minor">
                          <a:schemeClr val="dk1"/>
                        </a:fontRef>
                      </wps:style>
                      <wps:txbx>
                        <w:txbxContent>
                          <w:p w14:paraId="34C8AAD1" w14:textId="77777777" w:rsidR="005A1B19" w:rsidRDefault="005A1B19" w:rsidP="00D03490">
                            <w:pPr>
                              <w:spacing w:line="256" w:lineRule="auto"/>
                              <w:rPr>
                                <w:rFonts w:eastAsia="Calibri" w:hAnsi="Calibri" w:cs="Calibri"/>
                                <w:color w:val="000000" w:themeColor="dark1"/>
                                <w:sz w:val="16"/>
                                <w:szCs w:val="16"/>
                              </w:rPr>
                            </w:pPr>
                            <w:r>
                              <w:rPr>
                                <w:rFonts w:eastAsia="Calibri" w:hAnsi="Calibri" w:cs="Calibri"/>
                                <w:color w:val="000000" w:themeColor="dark1"/>
                                <w:sz w:val="16"/>
                                <w:szCs w:val="16"/>
                              </w:rPr>
                              <w:t>In some cases, it may not be possible to capture 80% of payments as individual providers. This occurs when greater than 20% of total payments were made to provider groups who received less than $20,000 in t</w:t>
                            </w:r>
                            <w:r>
                              <w:rPr>
                                <w:rFonts w:ascii="Calibri" w:hAnsi="Calibri" w:cs="Calibri"/>
                                <w:color w:val="000000" w:themeColor="dark1"/>
                                <w:sz w:val="16"/>
                                <w:szCs w:val="16"/>
                              </w:rPr>
                              <w:t>he calendar year</w:t>
                            </w:r>
                            <w:r>
                              <w:rPr>
                                <w:rFonts w:eastAsia="Calibri" w:hAnsi="Calibri" w:cs="Calibri"/>
                                <w:color w:val="000000" w:themeColor="dark1"/>
                                <w:sz w:val="16"/>
                                <w:szCs w:val="16"/>
                              </w:rPr>
                              <w:t xml:space="preserve">, as these groups will already be rolled into the aggregate amount. If this is the case, please report all provider groups with total payments over $20,000 as individual other provider groups.  </w:t>
                            </w:r>
                          </w:p>
                          <w:p w14:paraId="114DF4A9" w14:textId="77777777" w:rsidR="005A1B19" w:rsidRDefault="005A1B19" w:rsidP="00D03490">
                            <w:pPr>
                              <w:spacing w:line="256" w:lineRule="auto"/>
                              <w:jc w:val="center"/>
                              <w:rPr>
                                <w:rFonts w:eastAsia="Calibri" w:hAnsi="Calibri" w:cs="Calibri"/>
                                <w:color w:val="000000" w:themeColor="dark1"/>
                                <w:sz w:val="14"/>
                                <w:szCs w:val="14"/>
                              </w:rPr>
                            </w:pPr>
                            <w:r>
                              <w:rPr>
                                <w:rFonts w:eastAsia="Calibri" w:hAnsi="Calibri" w:cs="Calibri"/>
                                <w:color w:val="000000" w:themeColor="dark1"/>
                                <w:sz w:val="14"/>
                                <w:szCs w:val="14"/>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5560CCC" id="Rectangle: Rounded Corners 1" o:spid="_x0000_s1026" style="position:absolute;margin-left:287.25pt;margin-top:237.8pt;width:112.45pt;height:21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" fillcolor="white [3201]" strokecolor="#c0504d [3205]" strokeweight="2pt">
                <v:textbox>
                  <w:txbxContent>
                    <w:p w14:paraId="34C8AAD1" w14:textId="77777777" w:rsidR="005A1B19" w:rsidRDefault="005A1B19" w:rsidP="00D03490">
                      <w:pPr>
                        <w:spacing w:line="256" w:lineRule="auto"/>
                        <w:rPr>
                          <w:rFonts w:eastAsia="Calibri" w:hAnsi="Calibri" w:cs="Calibri"/>
                          <w:color w:val="000000" w:themeColor="dark1"/>
                          <w:sz w:val="16"/>
                          <w:szCs w:val="16"/>
                        </w:rPr>
                      </w:pPr>
                      <w:r>
                        <w:rPr>
                          <w:rFonts w:eastAsia="Calibri" w:hAnsi="Calibri" w:cs="Calibri"/>
                          <w:color w:val="000000" w:themeColor="dark1"/>
                          <w:sz w:val="16"/>
                          <w:szCs w:val="16"/>
                        </w:rPr>
                        <w:t>In some cases, it may not be possible to capture 80% of payments as individual providers. This occurs when greater than 20% of total payments were made to provider groups who received less than $20,000 in t</w:t>
                      </w:r>
                      <w:r>
                        <w:rPr>
                          <w:rFonts w:ascii="Calibri" w:hAnsi="Calibri" w:cs="Calibri"/>
                          <w:color w:val="000000" w:themeColor="dark1"/>
                          <w:sz w:val="16"/>
                          <w:szCs w:val="16"/>
                        </w:rPr>
                        <w:t>he calendar year</w:t>
                      </w:r>
                      <w:r>
                        <w:rPr>
                          <w:rFonts w:eastAsia="Calibri" w:hAnsi="Calibri" w:cs="Calibri"/>
                          <w:color w:val="000000" w:themeColor="dark1"/>
                          <w:sz w:val="16"/>
                          <w:szCs w:val="16"/>
                        </w:rPr>
                        <w:t xml:space="preserve">, as these groups will already be rolled into the aggregate amount. If this is the case, please report all provider groups with total payments over $20,000 as individual other provider groups.  </w:t>
                      </w:r>
                    </w:p>
                    <w:p w14:paraId="114DF4A9" w14:textId="77777777" w:rsidR="005A1B19" w:rsidRDefault="005A1B19" w:rsidP="00D03490">
                      <w:pPr>
                        <w:spacing w:line="256" w:lineRule="auto"/>
                        <w:jc w:val="center"/>
                        <w:rPr>
                          <w:rFonts w:eastAsia="Calibri" w:hAnsi="Calibri" w:cs="Calibri"/>
                          <w:color w:val="000000" w:themeColor="dark1"/>
                          <w:sz w:val="14"/>
                          <w:szCs w:val="14"/>
                        </w:rPr>
                      </w:pPr>
                      <w:r>
                        <w:rPr>
                          <w:rFonts w:eastAsia="Calibri" w:hAnsi="Calibri" w:cs="Calibri"/>
                          <w:color w:val="000000" w:themeColor="dark1"/>
                          <w:sz w:val="14"/>
                          <w:szCs w:val="14"/>
                        </w:rPr>
                        <w:t> </w:t>
                      </w:r>
                    </w:p>
                  </w:txbxContent>
                </v:textbox>
                <w10:wrap anchorx="margin"/>
              </v:roundrect>
            </w:pict>
          </mc:Fallback>
        </mc:AlternateContent>
      </w:r>
      <w:r w:rsidR="00BC6843">
        <w:rPr>
          <w:rFonts w:ascii="Garamond" w:hAnsi="Garamond" w:cstheme="minorHAnsi"/>
          <w:noProof/>
          <w:sz w:val="22"/>
          <w:szCs w:val="22"/>
        </w:rPr>
        <mc:AlternateContent>
          <mc:Choice Requires="wpg">
            <w:drawing>
              <wp:anchor distT="0" distB="0" distL="114300" distR="114300" simplePos="0" relativeHeight="251658244" behindDoc="0" locked="0" layoutInCell="1" allowOverlap="1" wp14:anchorId="484A1B2E" wp14:editId="23326BA5">
                <wp:simplePos x="0" y="0"/>
                <wp:positionH relativeFrom="column">
                  <wp:posOffset>3651885</wp:posOffset>
                </wp:positionH>
                <wp:positionV relativeFrom="paragraph">
                  <wp:posOffset>2850515</wp:posOffset>
                </wp:positionV>
                <wp:extent cx="194945" cy="194945"/>
                <wp:effectExtent l="0" t="0" r="0" b="0"/>
                <wp:wrapNone/>
                <wp:docPr id="956463352" name="Group 4"/>
                <wp:cNvGraphicFramePr/>
                <a:graphic xmlns:a="http://schemas.openxmlformats.org/drawingml/2006/main">
                  <a:graphicData uri="http://schemas.microsoft.com/office/word/2010/wordprocessingGroup">
                    <wpg:wgp>
                      <wpg:cNvGrpSpPr/>
                      <wpg:grpSpPr>
                        <a:xfrm>
                          <a:off x="0" y="0"/>
                          <a:ext cx="194945" cy="194945"/>
                          <a:chOff x="0" y="0"/>
                          <a:chExt cx="194945" cy="194945"/>
                        </a:xfrm>
                      </wpg:grpSpPr>
                      <wps:wsp>
                        <wps:cNvPr id="33194637" name="Oval 3"/>
                        <wps:cNvSpPr/>
                        <wps:spPr>
                          <a:xfrm>
                            <a:off x="45218" y="35169"/>
                            <a:ext cx="104775" cy="119062"/>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57083941" name="Graphic 2" descr="Information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94945" cy="194945"/>
                          </a:xfrm>
                          <a:prstGeom prst="rect">
                            <a:avLst/>
                          </a:prstGeom>
                        </pic:spPr>
                      </pic:pic>
                    </wpg:wgp>
                  </a:graphicData>
                </a:graphic>
              </wp:anchor>
            </w:drawing>
          </mc:Choice>
          <mc:Fallback>
            <w:pict>
              <v:group w14:anchorId="240B309D" id="Group 4" o:spid="_x0000_s1026" style="position:absolute;margin-left:287.55pt;margin-top:224.45pt;width:15.35pt;height:15.35pt;z-index:251658244" coordsize="194945,19494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">
                <v:oval id="Oval 3" o:spid="_x0000_s1027" style="position:absolute;left:45218;top:35169;width:104775;height:11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Information with solid fill" style="position:absolute;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">
                  <v:imagedata r:id="rId15" o:title="Information with solid fill"/>
                </v:shape>
              </v:group>
            </w:pict>
          </mc:Fallback>
        </mc:AlternateContent>
      </w:r>
      <w:r w:rsidR="08F743FC">
        <w:rPr>
          <w:noProof/>
        </w:rPr>
        <w:drawing>
          <wp:inline distT="0" distB="0" distL="0" distR="0" wp14:anchorId="2382223F" wp14:editId="36F80D64">
            <wp:extent cx="6543675" cy="3523517"/>
            <wp:effectExtent l="0" t="0" r="0" b="0"/>
            <wp:docPr id="1423825990" name="Picture 142382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543675" cy="3523517"/>
                    </a:xfrm>
                    <a:prstGeom prst="rect">
                      <a:avLst/>
                    </a:prstGeom>
                  </pic:spPr>
                </pic:pic>
              </a:graphicData>
            </a:graphic>
          </wp:inline>
        </w:drawing>
      </w:r>
    </w:p>
    <w:p w14:paraId="6052158D" w14:textId="77777777" w:rsidR="00BC6843" w:rsidRDefault="00BC6843" w:rsidP="00BC6843">
      <w:pPr>
        <w:pStyle w:val="Default"/>
        <w:spacing w:line="276" w:lineRule="auto"/>
        <w:rPr>
          <w:rFonts w:ascii="Garamond" w:hAnsi="Garamond" w:cstheme="minorHAnsi"/>
          <w:sz w:val="22"/>
          <w:szCs w:val="22"/>
        </w:rPr>
      </w:pPr>
    </w:p>
    <w:p w14:paraId="4811A3C7" w14:textId="77777777" w:rsidR="00BC6843" w:rsidRDefault="00BC6843" w:rsidP="00BC6843">
      <w:pPr>
        <w:pStyle w:val="Default"/>
        <w:spacing w:line="276" w:lineRule="auto"/>
        <w:rPr>
          <w:rFonts w:ascii="Garamond" w:hAnsi="Garamond" w:cstheme="minorHAnsi"/>
          <w:sz w:val="22"/>
          <w:szCs w:val="22"/>
        </w:rPr>
      </w:pPr>
    </w:p>
    <w:p w14:paraId="67C4F629" w14:textId="77777777" w:rsidR="00BC6843" w:rsidRDefault="00BC6843" w:rsidP="00BC6843">
      <w:pPr>
        <w:pStyle w:val="Default"/>
        <w:spacing w:line="276" w:lineRule="auto"/>
        <w:rPr>
          <w:rFonts w:ascii="Garamond" w:hAnsi="Garamond" w:cstheme="minorHAnsi"/>
          <w:sz w:val="22"/>
          <w:szCs w:val="22"/>
        </w:rPr>
      </w:pPr>
    </w:p>
    <w:p w14:paraId="0FF5E2A0" w14:textId="77777777" w:rsidR="00BC6843" w:rsidRDefault="00BC6843" w:rsidP="00BC6843">
      <w:pPr>
        <w:pStyle w:val="Default"/>
        <w:spacing w:line="276" w:lineRule="auto"/>
        <w:rPr>
          <w:rFonts w:ascii="Garamond" w:hAnsi="Garamond" w:cstheme="minorHAnsi"/>
          <w:sz w:val="22"/>
          <w:szCs w:val="22"/>
        </w:rPr>
      </w:pPr>
    </w:p>
    <w:p w14:paraId="2E48D3E7" w14:textId="77777777" w:rsidR="00BC6843" w:rsidRDefault="00BC6843" w:rsidP="00BC6843">
      <w:pPr>
        <w:pStyle w:val="Default"/>
        <w:spacing w:line="276" w:lineRule="auto"/>
        <w:rPr>
          <w:rFonts w:ascii="Garamond" w:hAnsi="Garamond" w:cstheme="minorHAnsi"/>
          <w:sz w:val="22"/>
          <w:szCs w:val="22"/>
        </w:rPr>
      </w:pPr>
    </w:p>
    <w:p w14:paraId="614C7126" w14:textId="77777777" w:rsidR="00BC6843" w:rsidRDefault="00BC6843" w:rsidP="00BC6843">
      <w:pPr>
        <w:pStyle w:val="Default"/>
        <w:spacing w:line="276" w:lineRule="auto"/>
        <w:rPr>
          <w:rFonts w:ascii="Garamond" w:hAnsi="Garamond" w:cstheme="minorHAnsi"/>
          <w:sz w:val="22"/>
          <w:szCs w:val="22"/>
        </w:rPr>
      </w:pPr>
    </w:p>
    <w:p w14:paraId="2D06403D" w14:textId="77777777" w:rsidR="00BC6843" w:rsidRDefault="00BC6843" w:rsidP="00BC6843">
      <w:pPr>
        <w:pStyle w:val="Default"/>
        <w:spacing w:line="276" w:lineRule="auto"/>
        <w:rPr>
          <w:rFonts w:ascii="Garamond" w:hAnsi="Garamond" w:cstheme="minorHAnsi"/>
          <w:sz w:val="22"/>
          <w:szCs w:val="22"/>
        </w:rPr>
      </w:pPr>
    </w:p>
    <w:p w14:paraId="2AE0363D" w14:textId="77777777" w:rsidR="00BC6843" w:rsidRDefault="00BC6843" w:rsidP="00BC6843">
      <w:pPr>
        <w:pStyle w:val="Default"/>
        <w:spacing w:line="276" w:lineRule="auto"/>
        <w:rPr>
          <w:rFonts w:ascii="Garamond" w:hAnsi="Garamond" w:cstheme="minorHAnsi"/>
          <w:sz w:val="22"/>
          <w:szCs w:val="22"/>
        </w:rPr>
      </w:pPr>
    </w:p>
    <w:p w14:paraId="5D9CF88B" w14:textId="77777777" w:rsidR="00BC6843" w:rsidRDefault="00BC6843" w:rsidP="00BC6843">
      <w:pPr>
        <w:pStyle w:val="Default"/>
        <w:spacing w:line="276" w:lineRule="auto"/>
        <w:rPr>
          <w:rFonts w:ascii="Garamond" w:hAnsi="Garamond" w:cstheme="minorHAnsi"/>
          <w:sz w:val="22"/>
          <w:szCs w:val="22"/>
        </w:rPr>
      </w:pPr>
    </w:p>
    <w:p w14:paraId="0A24802E" w14:textId="77777777" w:rsidR="00BC6843" w:rsidRDefault="00BC6843" w:rsidP="00BC6843">
      <w:pPr>
        <w:pStyle w:val="Default"/>
        <w:spacing w:line="276" w:lineRule="auto"/>
        <w:rPr>
          <w:rFonts w:ascii="Garamond" w:hAnsi="Garamond" w:cstheme="minorHAnsi"/>
          <w:sz w:val="22"/>
          <w:szCs w:val="22"/>
        </w:rPr>
      </w:pPr>
    </w:p>
    <w:p w14:paraId="36B8BECE" w14:textId="77777777" w:rsidR="00BC6843" w:rsidRDefault="00BC6843" w:rsidP="00D94268">
      <w:pPr>
        <w:pStyle w:val="Default"/>
        <w:spacing w:line="276" w:lineRule="auto"/>
        <w:ind w:left="360"/>
        <w:rPr>
          <w:rFonts w:ascii="Garamond" w:hAnsi="Garamond" w:cstheme="minorHAnsi"/>
          <w:sz w:val="22"/>
          <w:szCs w:val="22"/>
        </w:rPr>
      </w:pPr>
    </w:p>
    <w:p w14:paraId="5663D7A8" w14:textId="77777777" w:rsidR="00AE74DC" w:rsidRDefault="00AE74DC" w:rsidP="00D94268">
      <w:pPr>
        <w:pStyle w:val="Default"/>
        <w:spacing w:line="276" w:lineRule="auto"/>
        <w:ind w:left="360"/>
        <w:rPr>
          <w:rFonts w:ascii="Garamond" w:hAnsi="Garamond" w:cstheme="minorHAnsi"/>
          <w:sz w:val="22"/>
          <w:szCs w:val="22"/>
        </w:rPr>
      </w:pPr>
    </w:p>
    <w:p w14:paraId="64486829" w14:textId="77777777" w:rsidR="00AE74DC" w:rsidRDefault="00AE74DC" w:rsidP="00D94268">
      <w:pPr>
        <w:pStyle w:val="Default"/>
        <w:spacing w:line="276" w:lineRule="auto"/>
        <w:ind w:left="360"/>
        <w:rPr>
          <w:rFonts w:ascii="Garamond" w:hAnsi="Garamond" w:cstheme="minorHAnsi"/>
          <w:sz w:val="22"/>
          <w:szCs w:val="22"/>
        </w:rPr>
      </w:pPr>
    </w:p>
    <w:p w14:paraId="22D17B0D" w14:textId="77777777" w:rsidR="00BC6843" w:rsidRPr="005C78DA" w:rsidRDefault="00BC6843" w:rsidP="00D94268">
      <w:pPr>
        <w:pStyle w:val="Default"/>
        <w:spacing w:line="276" w:lineRule="auto"/>
        <w:ind w:left="360"/>
        <w:rPr>
          <w:rFonts w:ascii="Garamond" w:hAnsi="Garamond" w:cstheme="minorHAnsi"/>
          <w:sz w:val="22"/>
          <w:szCs w:val="22"/>
        </w:rPr>
      </w:pPr>
    </w:p>
    <w:p w14:paraId="025E8A51" w14:textId="77777777" w:rsidR="009A51E5" w:rsidRPr="005C78DA" w:rsidRDefault="005F7408" w:rsidP="005F7408">
      <w:pPr>
        <w:pStyle w:val="Default"/>
        <w:spacing w:line="276" w:lineRule="auto"/>
        <w:outlineLvl w:val="0"/>
        <w:rPr>
          <w:rFonts w:ascii="Garamond" w:hAnsi="Garamond" w:cstheme="minorHAnsi"/>
          <w:b/>
          <w:sz w:val="22"/>
          <w:szCs w:val="22"/>
        </w:rPr>
      </w:pPr>
      <w:bookmarkStart w:id="4" w:name="_Toc112161028"/>
      <w:r>
        <w:rPr>
          <w:rFonts w:ascii="Garamond" w:hAnsi="Garamond" w:cstheme="minorHAnsi"/>
          <w:b/>
          <w:sz w:val="22"/>
          <w:szCs w:val="22"/>
        </w:rPr>
        <w:t>5.</w:t>
      </w:r>
      <w:r>
        <w:rPr>
          <w:rFonts w:ascii="Garamond" w:hAnsi="Garamond" w:cstheme="minorHAnsi"/>
          <w:b/>
          <w:sz w:val="22"/>
          <w:szCs w:val="22"/>
        </w:rPr>
        <w:tab/>
      </w:r>
      <w:r w:rsidR="00D52ABF" w:rsidRPr="005C78DA">
        <w:rPr>
          <w:rFonts w:ascii="Garamond" w:hAnsi="Garamond" w:cstheme="minorHAnsi"/>
          <w:b/>
          <w:sz w:val="22"/>
          <w:szCs w:val="22"/>
        </w:rPr>
        <w:t xml:space="preserve">Payer </w:t>
      </w:r>
      <w:r w:rsidR="002F3166" w:rsidRPr="005C78DA">
        <w:rPr>
          <w:rFonts w:ascii="Garamond" w:hAnsi="Garamond" w:cstheme="minorHAnsi"/>
          <w:b/>
          <w:sz w:val="22"/>
          <w:szCs w:val="22"/>
        </w:rPr>
        <w:t xml:space="preserve">Reporting </w:t>
      </w:r>
      <w:r w:rsidR="00B858E8" w:rsidRPr="005C78DA">
        <w:rPr>
          <w:rFonts w:ascii="Garamond" w:hAnsi="Garamond" w:cstheme="minorHAnsi"/>
          <w:b/>
          <w:sz w:val="22"/>
          <w:szCs w:val="22"/>
        </w:rPr>
        <w:t>Guidelines</w:t>
      </w:r>
      <w:bookmarkEnd w:id="4"/>
    </w:p>
    <w:p w14:paraId="7FECF36E" w14:textId="77777777" w:rsidR="009A51E5" w:rsidRPr="005C78DA" w:rsidRDefault="009A51E5" w:rsidP="00D94268">
      <w:pPr>
        <w:pStyle w:val="Default"/>
        <w:spacing w:line="276" w:lineRule="auto"/>
        <w:rPr>
          <w:rFonts w:ascii="Garamond" w:hAnsi="Garamond" w:cstheme="minorHAnsi"/>
          <w:b/>
          <w:sz w:val="22"/>
          <w:szCs w:val="22"/>
        </w:rPr>
      </w:pPr>
    </w:p>
    <w:p w14:paraId="4043B109" w14:textId="79BE609D" w:rsidR="009B70F3" w:rsidRPr="005C78DA" w:rsidRDefault="00A20A5A" w:rsidP="001230B3">
      <w:pPr>
        <w:pStyle w:val="Default"/>
        <w:spacing w:line="276" w:lineRule="auto"/>
        <w:rPr>
          <w:rFonts w:ascii="Garamond" w:hAnsi="Garamond" w:cstheme="minorHAnsi"/>
          <w:sz w:val="22"/>
          <w:szCs w:val="22"/>
        </w:rPr>
      </w:pPr>
      <w:r w:rsidRPr="005C78DA">
        <w:rPr>
          <w:rFonts w:ascii="Garamond" w:hAnsi="Garamond" w:cstheme="minorHAnsi"/>
          <w:sz w:val="22"/>
          <w:szCs w:val="22"/>
        </w:rPr>
        <w:t>P</w:t>
      </w:r>
      <w:r w:rsidR="009B70F3" w:rsidRPr="005C78DA">
        <w:rPr>
          <w:rFonts w:ascii="Garamond" w:hAnsi="Garamond" w:cstheme="minorHAnsi"/>
          <w:sz w:val="22"/>
          <w:szCs w:val="22"/>
        </w:rPr>
        <w:t>ayers</w:t>
      </w:r>
      <w:r w:rsidR="003D2064" w:rsidRPr="005C78DA">
        <w:rPr>
          <w:rFonts w:ascii="Garamond" w:hAnsi="Garamond" w:cstheme="minorHAnsi"/>
          <w:sz w:val="22"/>
          <w:szCs w:val="22"/>
        </w:rPr>
        <w:t xml:space="preserve"> must report </w:t>
      </w:r>
      <w:r w:rsidR="00956161" w:rsidRPr="005C78DA">
        <w:rPr>
          <w:rFonts w:ascii="Garamond" w:hAnsi="Garamond" w:cstheme="minorHAnsi"/>
          <w:sz w:val="22"/>
          <w:szCs w:val="22"/>
        </w:rPr>
        <w:t>RP</w:t>
      </w:r>
      <w:r w:rsidR="00D431C1" w:rsidRPr="005C78DA">
        <w:rPr>
          <w:rFonts w:ascii="Garamond" w:hAnsi="Garamond" w:cstheme="minorHAnsi"/>
          <w:sz w:val="22"/>
          <w:szCs w:val="22"/>
        </w:rPr>
        <w:t xml:space="preserve"> data</w:t>
      </w:r>
      <w:r w:rsidR="003D2064" w:rsidRPr="005C78DA">
        <w:rPr>
          <w:rFonts w:ascii="Garamond" w:hAnsi="Garamond" w:cstheme="minorHAnsi"/>
          <w:sz w:val="22"/>
          <w:szCs w:val="22"/>
        </w:rPr>
        <w:t xml:space="preserve"> for </w:t>
      </w:r>
      <w:r w:rsidR="009B70F3" w:rsidRPr="005C78DA">
        <w:rPr>
          <w:rFonts w:ascii="Garamond" w:hAnsi="Garamond" w:cstheme="minorHAnsi"/>
          <w:sz w:val="22"/>
          <w:szCs w:val="22"/>
        </w:rPr>
        <w:t xml:space="preserve">the </w:t>
      </w:r>
      <w:r w:rsidR="00D431C1" w:rsidRPr="005C78DA">
        <w:rPr>
          <w:rFonts w:ascii="Garamond" w:hAnsi="Garamond" w:cstheme="minorHAnsi"/>
          <w:sz w:val="22"/>
          <w:szCs w:val="22"/>
        </w:rPr>
        <w:t>specified</w:t>
      </w:r>
      <w:r w:rsidR="003D2064" w:rsidRPr="005C78DA">
        <w:rPr>
          <w:rFonts w:ascii="Garamond" w:hAnsi="Garamond" w:cstheme="minorHAnsi"/>
          <w:sz w:val="22"/>
          <w:szCs w:val="22"/>
        </w:rPr>
        <w:t xml:space="preserve"> </w:t>
      </w:r>
      <w:r w:rsidR="00AD07A3" w:rsidRPr="005C78DA">
        <w:rPr>
          <w:rFonts w:ascii="Garamond" w:hAnsi="Garamond" w:cstheme="minorHAnsi"/>
          <w:sz w:val="22"/>
          <w:szCs w:val="22"/>
        </w:rPr>
        <w:t>provider</w:t>
      </w:r>
      <w:r w:rsidR="00C67521">
        <w:rPr>
          <w:rFonts w:ascii="Garamond" w:hAnsi="Garamond" w:cstheme="minorHAnsi"/>
          <w:sz w:val="22"/>
          <w:szCs w:val="22"/>
        </w:rPr>
        <w:t>s</w:t>
      </w:r>
      <w:r w:rsidR="00AD07A3" w:rsidRPr="005C78DA">
        <w:rPr>
          <w:rFonts w:ascii="Garamond" w:hAnsi="Garamond" w:cstheme="minorHAnsi"/>
          <w:sz w:val="22"/>
          <w:szCs w:val="22"/>
        </w:rPr>
        <w:t xml:space="preserve"> </w:t>
      </w:r>
      <w:r w:rsidR="003D2064" w:rsidRPr="005C78DA">
        <w:rPr>
          <w:rFonts w:ascii="Garamond" w:hAnsi="Garamond" w:cstheme="minorHAnsi"/>
          <w:sz w:val="22"/>
          <w:szCs w:val="22"/>
        </w:rPr>
        <w:t xml:space="preserve">by </w:t>
      </w:r>
      <w:r w:rsidR="009B70F3" w:rsidRPr="005C78DA">
        <w:rPr>
          <w:rFonts w:ascii="Garamond" w:hAnsi="Garamond" w:cstheme="minorHAnsi"/>
          <w:sz w:val="22"/>
          <w:szCs w:val="22"/>
        </w:rPr>
        <w:t>insurance category (</w:t>
      </w:r>
      <w:r w:rsidR="001230B3" w:rsidRPr="001230B3">
        <w:rPr>
          <w:rFonts w:ascii="Garamond" w:hAnsi="Garamond" w:cstheme="minorHAnsi"/>
          <w:sz w:val="22"/>
          <w:szCs w:val="22"/>
        </w:rPr>
        <w:t>Commercial (self and fully insured)</w:t>
      </w:r>
      <w:r w:rsidR="001230B3">
        <w:rPr>
          <w:rFonts w:ascii="Garamond" w:hAnsi="Garamond" w:cstheme="minorHAnsi"/>
          <w:sz w:val="22"/>
          <w:szCs w:val="22"/>
        </w:rPr>
        <w:t xml:space="preserve">, </w:t>
      </w:r>
      <w:r w:rsidR="001230B3" w:rsidRPr="001230B3">
        <w:rPr>
          <w:rFonts w:ascii="Garamond" w:hAnsi="Garamond" w:cstheme="minorHAnsi"/>
          <w:sz w:val="22"/>
          <w:szCs w:val="22"/>
        </w:rPr>
        <w:t>Medicare Advantage</w:t>
      </w:r>
      <w:r w:rsidR="001230B3">
        <w:rPr>
          <w:rFonts w:ascii="Garamond" w:hAnsi="Garamond" w:cstheme="minorHAnsi"/>
          <w:sz w:val="22"/>
          <w:szCs w:val="22"/>
        </w:rPr>
        <w:t xml:space="preserve">, </w:t>
      </w:r>
      <w:r w:rsidR="001230B3" w:rsidRPr="001230B3">
        <w:rPr>
          <w:rFonts w:ascii="Garamond" w:hAnsi="Garamond" w:cstheme="minorHAnsi"/>
          <w:sz w:val="22"/>
          <w:szCs w:val="22"/>
        </w:rPr>
        <w:t>Medicaid Managed Care Organization (MCO)/Accountable Care Organization (ACO-A)</w:t>
      </w:r>
      <w:r w:rsidR="001230B3">
        <w:rPr>
          <w:rFonts w:ascii="Garamond" w:hAnsi="Garamond" w:cstheme="minorHAnsi"/>
          <w:sz w:val="22"/>
          <w:szCs w:val="22"/>
        </w:rPr>
        <w:t xml:space="preserve">, </w:t>
      </w:r>
      <w:r w:rsidR="00787C97">
        <w:rPr>
          <w:rFonts w:ascii="Garamond" w:hAnsi="Garamond" w:cstheme="minorHAnsi"/>
          <w:sz w:val="22"/>
          <w:szCs w:val="22"/>
        </w:rPr>
        <w:t>SCO</w:t>
      </w:r>
      <w:r w:rsidR="001230B3" w:rsidRPr="001230B3">
        <w:rPr>
          <w:rFonts w:ascii="Garamond" w:hAnsi="Garamond" w:cstheme="minorHAnsi"/>
          <w:sz w:val="22"/>
          <w:szCs w:val="22"/>
        </w:rPr>
        <w:t xml:space="preserve">, </w:t>
      </w:r>
      <w:r w:rsidR="00787C97">
        <w:rPr>
          <w:rFonts w:ascii="Garamond" w:hAnsi="Garamond" w:cstheme="minorHAnsi"/>
          <w:sz w:val="22"/>
          <w:szCs w:val="22"/>
        </w:rPr>
        <w:t>OneCare</w:t>
      </w:r>
      <w:r w:rsidR="001230B3">
        <w:rPr>
          <w:rFonts w:ascii="Garamond" w:hAnsi="Garamond" w:cstheme="minorHAnsi"/>
          <w:sz w:val="22"/>
          <w:szCs w:val="22"/>
        </w:rPr>
        <w:t xml:space="preserve">, </w:t>
      </w:r>
      <w:r w:rsidR="001230B3" w:rsidRPr="001230B3">
        <w:rPr>
          <w:rFonts w:ascii="Garamond" w:hAnsi="Garamond" w:cstheme="minorHAnsi"/>
          <w:sz w:val="22"/>
          <w:szCs w:val="22"/>
        </w:rPr>
        <w:t>Other</w:t>
      </w:r>
      <w:r w:rsidR="009B70F3" w:rsidRPr="005C78DA">
        <w:rPr>
          <w:rFonts w:ascii="Garamond" w:hAnsi="Garamond" w:cstheme="minorHAnsi"/>
          <w:sz w:val="22"/>
          <w:szCs w:val="22"/>
        </w:rPr>
        <w:t>) and by product t</w:t>
      </w:r>
      <w:r w:rsidR="008741B8" w:rsidRPr="005C78DA">
        <w:rPr>
          <w:rFonts w:ascii="Garamond" w:hAnsi="Garamond" w:cstheme="minorHAnsi"/>
          <w:sz w:val="22"/>
          <w:szCs w:val="22"/>
        </w:rPr>
        <w:t>ype (HMO</w:t>
      </w:r>
      <w:r w:rsidR="000605AC" w:rsidRPr="005C78DA">
        <w:rPr>
          <w:rFonts w:ascii="Garamond" w:hAnsi="Garamond" w:cstheme="minorHAnsi"/>
          <w:sz w:val="22"/>
          <w:szCs w:val="22"/>
        </w:rPr>
        <w:t xml:space="preserve"> and POS</w:t>
      </w:r>
      <w:r w:rsidR="008741B8" w:rsidRPr="005C78DA">
        <w:rPr>
          <w:rFonts w:ascii="Garamond" w:hAnsi="Garamond" w:cstheme="minorHAnsi"/>
          <w:sz w:val="22"/>
          <w:szCs w:val="22"/>
        </w:rPr>
        <w:t>, PPO, Indemnity,</w:t>
      </w:r>
      <w:r w:rsidRPr="005C78DA">
        <w:rPr>
          <w:rFonts w:ascii="Garamond" w:hAnsi="Garamond" w:cstheme="minorHAnsi"/>
          <w:sz w:val="22"/>
          <w:szCs w:val="22"/>
        </w:rPr>
        <w:t xml:space="preserve"> and</w:t>
      </w:r>
      <w:r w:rsidR="008741B8" w:rsidRPr="005C78DA">
        <w:rPr>
          <w:rFonts w:ascii="Garamond" w:hAnsi="Garamond" w:cstheme="minorHAnsi"/>
          <w:sz w:val="22"/>
          <w:szCs w:val="22"/>
        </w:rPr>
        <w:t xml:space="preserve"> </w:t>
      </w:r>
      <w:r w:rsidR="00956161" w:rsidRPr="005C78DA">
        <w:rPr>
          <w:rFonts w:ascii="Garamond" w:hAnsi="Garamond" w:cstheme="minorHAnsi"/>
          <w:sz w:val="22"/>
          <w:szCs w:val="22"/>
        </w:rPr>
        <w:t>O</w:t>
      </w:r>
      <w:r w:rsidR="008741B8" w:rsidRPr="005C78DA">
        <w:rPr>
          <w:rFonts w:ascii="Garamond" w:hAnsi="Garamond" w:cstheme="minorHAnsi"/>
          <w:sz w:val="22"/>
          <w:szCs w:val="22"/>
        </w:rPr>
        <w:t>ther</w:t>
      </w:r>
      <w:r w:rsidR="009B70F3" w:rsidRPr="005C78DA">
        <w:rPr>
          <w:rFonts w:ascii="Garamond" w:hAnsi="Garamond" w:cstheme="minorHAnsi"/>
          <w:sz w:val="22"/>
          <w:szCs w:val="22"/>
        </w:rPr>
        <w:t>)</w:t>
      </w:r>
      <w:r w:rsidR="003D2064" w:rsidRPr="005C78DA">
        <w:rPr>
          <w:rFonts w:ascii="Garamond" w:hAnsi="Garamond" w:cstheme="minorHAnsi"/>
          <w:sz w:val="22"/>
          <w:szCs w:val="22"/>
        </w:rPr>
        <w:t>.</w:t>
      </w:r>
      <w:r w:rsidR="00576986" w:rsidRPr="005C78DA">
        <w:rPr>
          <w:rFonts w:ascii="Garamond" w:hAnsi="Garamond" w:cstheme="minorHAnsi"/>
          <w:sz w:val="22"/>
          <w:szCs w:val="22"/>
        </w:rPr>
        <w:t xml:space="preserve"> (See </w:t>
      </w:r>
      <w:r w:rsidR="00576986" w:rsidRPr="005C78DA">
        <w:rPr>
          <w:rFonts w:ascii="Garamond" w:hAnsi="Garamond" w:cstheme="minorHAnsi"/>
          <w:sz w:val="22"/>
          <w:szCs w:val="22"/>
        </w:rPr>
        <w:lastRenderedPageBreak/>
        <w:t xml:space="preserve">Appendix </w:t>
      </w:r>
      <w:r w:rsidR="00BC6843">
        <w:rPr>
          <w:rFonts w:ascii="Garamond" w:hAnsi="Garamond" w:cstheme="minorHAnsi"/>
          <w:sz w:val="22"/>
          <w:szCs w:val="22"/>
        </w:rPr>
        <w:t>D</w:t>
      </w:r>
      <w:r w:rsidR="00576986" w:rsidRPr="005C78DA">
        <w:rPr>
          <w:rFonts w:ascii="Garamond" w:hAnsi="Garamond" w:cstheme="minorHAnsi"/>
          <w:sz w:val="22"/>
          <w:szCs w:val="22"/>
        </w:rPr>
        <w:t>.)</w:t>
      </w:r>
      <w:r w:rsidR="00AB7EBF">
        <w:rPr>
          <w:rFonts w:ascii="Garamond" w:hAnsi="Garamond" w:cstheme="minorHAnsi"/>
          <w:sz w:val="22"/>
          <w:szCs w:val="22"/>
        </w:rPr>
        <w:t xml:space="preserve"> </w:t>
      </w:r>
      <w:r w:rsidR="00604A7F" w:rsidRPr="005C78DA">
        <w:rPr>
          <w:rFonts w:ascii="Garamond" w:hAnsi="Garamond" w:cstheme="minorHAnsi"/>
          <w:sz w:val="22"/>
          <w:szCs w:val="22"/>
        </w:rPr>
        <w:t xml:space="preserve"> </w:t>
      </w:r>
      <w:r w:rsidR="00536A37" w:rsidRPr="005C78DA">
        <w:rPr>
          <w:rFonts w:ascii="Garamond" w:hAnsi="Garamond" w:cstheme="minorHAnsi"/>
          <w:sz w:val="22"/>
          <w:szCs w:val="22"/>
        </w:rPr>
        <w:t xml:space="preserve">The </w:t>
      </w:r>
      <w:r w:rsidR="00956161" w:rsidRPr="005C78DA">
        <w:rPr>
          <w:rFonts w:ascii="Garamond" w:hAnsi="Garamond" w:cstheme="minorHAnsi"/>
          <w:sz w:val="22"/>
          <w:szCs w:val="22"/>
        </w:rPr>
        <w:t>RP</w:t>
      </w:r>
      <w:r w:rsidR="00536A37" w:rsidRPr="005C78DA">
        <w:rPr>
          <w:rFonts w:ascii="Garamond" w:hAnsi="Garamond" w:cstheme="minorHAnsi"/>
          <w:sz w:val="22"/>
          <w:szCs w:val="22"/>
        </w:rPr>
        <w:t xml:space="preserve"> </w:t>
      </w:r>
      <w:r w:rsidR="002F3166" w:rsidRPr="005C78DA">
        <w:rPr>
          <w:rFonts w:ascii="Garamond" w:hAnsi="Garamond" w:cstheme="minorHAnsi"/>
          <w:sz w:val="22"/>
          <w:szCs w:val="22"/>
        </w:rPr>
        <w:t>data submission</w:t>
      </w:r>
      <w:r w:rsidR="008741B8" w:rsidRPr="005C78DA">
        <w:rPr>
          <w:rFonts w:ascii="Garamond" w:hAnsi="Garamond" w:cstheme="minorHAnsi"/>
          <w:sz w:val="22"/>
          <w:szCs w:val="22"/>
        </w:rPr>
        <w:t xml:space="preserve"> include</w:t>
      </w:r>
      <w:r w:rsidR="00536A37" w:rsidRPr="005C78DA">
        <w:rPr>
          <w:rFonts w:ascii="Garamond" w:hAnsi="Garamond" w:cstheme="minorHAnsi"/>
          <w:sz w:val="22"/>
          <w:szCs w:val="22"/>
        </w:rPr>
        <w:t>s</w:t>
      </w:r>
      <w:r w:rsidRPr="005C78DA">
        <w:rPr>
          <w:rFonts w:ascii="Garamond" w:hAnsi="Garamond" w:cstheme="minorHAnsi"/>
          <w:sz w:val="22"/>
          <w:szCs w:val="22"/>
        </w:rPr>
        <w:t xml:space="preserve"> </w:t>
      </w:r>
      <w:r w:rsidR="002F3166" w:rsidRPr="005C78DA">
        <w:rPr>
          <w:rFonts w:ascii="Garamond" w:hAnsi="Garamond" w:cstheme="minorHAnsi"/>
          <w:sz w:val="22"/>
          <w:szCs w:val="22"/>
        </w:rPr>
        <w:t>information regarding</w:t>
      </w:r>
      <w:r w:rsidR="00956161" w:rsidRPr="005C78DA">
        <w:rPr>
          <w:rFonts w:ascii="Garamond" w:hAnsi="Garamond" w:cstheme="minorHAnsi"/>
          <w:sz w:val="22"/>
          <w:szCs w:val="22"/>
        </w:rPr>
        <w:t xml:space="preserve"> claims and</w:t>
      </w:r>
      <w:r w:rsidR="002F3166" w:rsidRPr="005C78DA">
        <w:rPr>
          <w:rFonts w:ascii="Garamond" w:hAnsi="Garamond" w:cstheme="minorHAnsi"/>
          <w:sz w:val="22"/>
          <w:szCs w:val="22"/>
        </w:rPr>
        <w:t xml:space="preserve"> </w:t>
      </w:r>
      <w:r w:rsidRPr="005C78DA">
        <w:rPr>
          <w:rFonts w:ascii="Garamond" w:hAnsi="Garamond" w:cstheme="minorHAnsi"/>
          <w:sz w:val="22"/>
          <w:szCs w:val="22"/>
        </w:rPr>
        <w:t>non-claims payments</w:t>
      </w:r>
      <w:r w:rsidR="00821504">
        <w:rPr>
          <w:rFonts w:ascii="Garamond" w:hAnsi="Garamond" w:cstheme="minorHAnsi"/>
          <w:sz w:val="22"/>
          <w:szCs w:val="22"/>
        </w:rPr>
        <w:t xml:space="preserve"> by product and service</w:t>
      </w:r>
      <w:r w:rsidR="00604A7F" w:rsidRPr="005C78DA">
        <w:rPr>
          <w:rFonts w:ascii="Garamond" w:hAnsi="Garamond" w:cstheme="minorHAnsi"/>
          <w:sz w:val="22"/>
          <w:szCs w:val="22"/>
        </w:rPr>
        <w:t>.</w:t>
      </w:r>
    </w:p>
    <w:p w14:paraId="7FEB6A3A" w14:textId="77777777" w:rsidR="009F2DC1" w:rsidRDefault="009F2DC1" w:rsidP="00D94268">
      <w:pPr>
        <w:pStyle w:val="Default"/>
        <w:spacing w:line="276" w:lineRule="auto"/>
        <w:rPr>
          <w:rFonts w:ascii="Garamond" w:hAnsi="Garamond" w:cstheme="minorHAnsi"/>
          <w:sz w:val="22"/>
          <w:szCs w:val="22"/>
        </w:rPr>
      </w:pPr>
    </w:p>
    <w:p w14:paraId="223002FE" w14:textId="77777777" w:rsidR="00BC6843" w:rsidRPr="005C78DA" w:rsidRDefault="00BC6843" w:rsidP="00D94268">
      <w:pPr>
        <w:pStyle w:val="Default"/>
        <w:spacing w:line="276" w:lineRule="auto"/>
        <w:rPr>
          <w:rFonts w:ascii="Garamond" w:hAnsi="Garamond" w:cstheme="minorHAnsi"/>
          <w:sz w:val="22"/>
          <w:szCs w:val="22"/>
        </w:rPr>
      </w:pPr>
    </w:p>
    <w:p w14:paraId="0557299C" w14:textId="77777777" w:rsidR="00606BE0" w:rsidRPr="005F7408" w:rsidRDefault="00FC72BE" w:rsidP="007A765E">
      <w:pPr>
        <w:pStyle w:val="Default"/>
        <w:numPr>
          <w:ilvl w:val="0"/>
          <w:numId w:val="11"/>
        </w:numPr>
        <w:spacing w:line="276" w:lineRule="auto"/>
        <w:outlineLvl w:val="1"/>
        <w:rPr>
          <w:rFonts w:ascii="Garamond" w:hAnsi="Garamond" w:cstheme="minorHAnsi"/>
          <w:b/>
          <w:sz w:val="22"/>
          <w:szCs w:val="22"/>
        </w:rPr>
      </w:pPr>
      <w:bookmarkStart w:id="5" w:name="_Toc112161029"/>
      <w:r w:rsidRPr="005F7408">
        <w:rPr>
          <w:rFonts w:ascii="Garamond" w:hAnsi="Garamond" w:cstheme="minorHAnsi"/>
          <w:b/>
          <w:sz w:val="22"/>
          <w:szCs w:val="22"/>
        </w:rPr>
        <w:t>Definitions</w:t>
      </w:r>
      <w:bookmarkEnd w:id="5"/>
    </w:p>
    <w:p w14:paraId="7BE406EE" w14:textId="77777777" w:rsidR="00FC72BE" w:rsidRPr="005C78DA" w:rsidRDefault="00FC72BE" w:rsidP="00D94268">
      <w:pPr>
        <w:spacing w:line="276" w:lineRule="auto"/>
        <w:rPr>
          <w:rFonts w:ascii="Garamond" w:hAnsi="Garamond" w:cstheme="minorHAnsi"/>
          <w:b/>
          <w:i/>
          <w:spacing w:val="-3"/>
          <w:sz w:val="22"/>
          <w:szCs w:val="22"/>
        </w:rPr>
      </w:pPr>
    </w:p>
    <w:p w14:paraId="75EAE0AD" w14:textId="77777777" w:rsidR="00460111" w:rsidRPr="005C78DA" w:rsidRDefault="00460111" w:rsidP="00D94268">
      <w:pPr>
        <w:spacing w:line="276" w:lineRule="auto"/>
        <w:rPr>
          <w:rFonts w:ascii="Garamond" w:hAnsi="Garamond" w:cstheme="minorHAnsi"/>
          <w:spacing w:val="-3"/>
          <w:sz w:val="22"/>
          <w:szCs w:val="22"/>
        </w:rPr>
      </w:pPr>
      <w:r w:rsidRPr="005C78DA">
        <w:rPr>
          <w:rFonts w:ascii="Garamond" w:hAnsi="Garamond" w:cstheme="minorHAnsi"/>
          <w:b/>
          <w:i/>
          <w:spacing w:val="-3"/>
          <w:sz w:val="22"/>
          <w:szCs w:val="22"/>
        </w:rPr>
        <w:t>Claims Payments</w:t>
      </w:r>
      <w:r w:rsidRPr="005C78DA">
        <w:rPr>
          <w:rFonts w:ascii="Garamond" w:hAnsi="Garamond" w:cstheme="minorHAnsi"/>
          <w:b/>
          <w:spacing w:val="-3"/>
          <w:sz w:val="22"/>
          <w:szCs w:val="22"/>
        </w:rPr>
        <w:t>.</w:t>
      </w:r>
      <w:r w:rsidRPr="005C78DA">
        <w:rPr>
          <w:rFonts w:ascii="Garamond" w:hAnsi="Garamond" w:cstheme="minorHAnsi"/>
          <w:spacing w:val="-3"/>
          <w:sz w:val="22"/>
          <w:szCs w:val="22"/>
        </w:rPr>
        <w:t xml:space="preserve"> Claims payments include all payments made pursuant to the payer’s contract with a provider made on the basis of a claim for medical services</w:t>
      </w:r>
      <w:r w:rsidR="00FC72BE" w:rsidRPr="005C78DA">
        <w:rPr>
          <w:rFonts w:ascii="Garamond" w:hAnsi="Garamond" w:cstheme="minorHAnsi"/>
          <w:spacing w:val="-3"/>
          <w:sz w:val="22"/>
          <w:szCs w:val="22"/>
        </w:rPr>
        <w:t>, including patient cost-sharing amounts</w:t>
      </w:r>
      <w:r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r w:rsidR="0073578C">
        <w:rPr>
          <w:rFonts w:ascii="Garamond" w:hAnsi="Garamond" w:cstheme="minorHAnsi"/>
          <w:spacing w:val="-3"/>
          <w:sz w:val="22"/>
          <w:szCs w:val="22"/>
        </w:rPr>
        <w:t xml:space="preserve">Reported values for a particular provider should reflect only payments made for services delivered by that provider. For example, if a physician group is reimbursed using global capitation based on a comprehensive set of services, claims payments should capture only physician group services, and not the full spectrum of services provided to patients under such contracts. </w:t>
      </w:r>
    </w:p>
    <w:p w14:paraId="4EBA55BE" w14:textId="77777777" w:rsidR="00460111" w:rsidRPr="005C78DA" w:rsidRDefault="00460111" w:rsidP="00D94268">
      <w:pPr>
        <w:spacing w:line="276" w:lineRule="auto"/>
        <w:rPr>
          <w:rFonts w:ascii="Garamond" w:hAnsi="Garamond" w:cstheme="minorHAnsi"/>
          <w:spacing w:val="-3"/>
          <w:sz w:val="22"/>
          <w:szCs w:val="22"/>
        </w:rPr>
      </w:pPr>
    </w:p>
    <w:p w14:paraId="5D782E77" w14:textId="77777777" w:rsidR="0032185A" w:rsidRPr="005C78DA" w:rsidRDefault="009F2DC1" w:rsidP="00D94268">
      <w:pPr>
        <w:spacing w:line="276" w:lineRule="auto"/>
        <w:rPr>
          <w:rFonts w:ascii="Garamond" w:hAnsi="Garamond" w:cstheme="minorHAnsi"/>
          <w:spacing w:val="-3"/>
          <w:sz w:val="22"/>
          <w:szCs w:val="22"/>
        </w:rPr>
      </w:pPr>
      <w:r w:rsidRPr="005C78DA">
        <w:rPr>
          <w:rFonts w:ascii="Garamond" w:hAnsi="Garamond" w:cstheme="minorHAnsi"/>
          <w:b/>
          <w:i/>
          <w:spacing w:val="-3"/>
          <w:sz w:val="22"/>
          <w:szCs w:val="22"/>
        </w:rPr>
        <w:t>Non-Claims Payments</w:t>
      </w:r>
      <w:r w:rsidRPr="005C78DA">
        <w:rPr>
          <w:rFonts w:ascii="Garamond" w:hAnsi="Garamond" w:cstheme="minorHAnsi"/>
          <w:b/>
          <w:spacing w:val="-3"/>
          <w:sz w:val="22"/>
          <w:szCs w:val="22"/>
        </w:rPr>
        <w:t>.</w:t>
      </w:r>
      <w:r w:rsidRPr="005C78DA">
        <w:rPr>
          <w:rFonts w:ascii="Garamond" w:hAnsi="Garamond" w:cstheme="minorHAnsi"/>
          <w:spacing w:val="-3"/>
          <w:sz w:val="22"/>
          <w:szCs w:val="22"/>
        </w:rPr>
        <w:t xml:space="preserve"> </w:t>
      </w:r>
      <w:r w:rsidR="0032185A" w:rsidRPr="005C78DA">
        <w:rPr>
          <w:rFonts w:ascii="Garamond" w:hAnsi="Garamond" w:cstheme="minorHAnsi"/>
          <w:spacing w:val="-3"/>
          <w:sz w:val="22"/>
          <w:szCs w:val="22"/>
        </w:rPr>
        <w:t>Non-claims payments include all payments made pursuant to the payer’s contract with a provider that were not made on the basis of a claim for medical services.</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Only payments made to providers </w:t>
      </w:r>
      <w:r w:rsidR="001E3308" w:rsidRPr="005C78DA">
        <w:rPr>
          <w:rFonts w:ascii="Garamond" w:hAnsi="Garamond" w:cstheme="minorHAnsi"/>
          <w:spacing w:val="-3"/>
          <w:sz w:val="22"/>
          <w:szCs w:val="22"/>
        </w:rPr>
        <w:t>should be reported</w:t>
      </w:r>
      <w:r w:rsidR="0032185A" w:rsidRPr="005C78DA">
        <w:rPr>
          <w:rFonts w:ascii="Garamond" w:hAnsi="Garamond" w:cstheme="minorHAnsi"/>
          <w:spacing w:val="-3"/>
          <w:sz w:val="22"/>
          <w:szCs w:val="22"/>
        </w:rPr>
        <w:t xml:space="preserve">. Payments to government entities, such as the Health Safety Net Surcharge, </w:t>
      </w:r>
      <w:r w:rsidR="001E3308" w:rsidRPr="005C78DA">
        <w:rPr>
          <w:rFonts w:ascii="Garamond" w:hAnsi="Garamond" w:cstheme="minorHAnsi"/>
          <w:spacing w:val="-3"/>
          <w:sz w:val="22"/>
          <w:szCs w:val="22"/>
        </w:rPr>
        <w:t>should be omitted</w:t>
      </w:r>
      <w:r w:rsidR="0032185A"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p>
    <w:p w14:paraId="669B8044" w14:textId="77777777" w:rsidR="0032185A" w:rsidRPr="005C78DA" w:rsidRDefault="0032185A" w:rsidP="00D94268">
      <w:pPr>
        <w:spacing w:line="276" w:lineRule="auto"/>
        <w:rPr>
          <w:rFonts w:ascii="Garamond" w:hAnsi="Garamond" w:cstheme="minorHAnsi"/>
          <w:spacing w:val="-3"/>
          <w:sz w:val="22"/>
          <w:szCs w:val="22"/>
        </w:rPr>
      </w:pPr>
    </w:p>
    <w:p w14:paraId="7694A643" w14:textId="0ADD4ED5" w:rsidR="009F2DC1" w:rsidRPr="005C78DA" w:rsidRDefault="00536A37" w:rsidP="00D94268">
      <w:pPr>
        <w:pStyle w:val="Default"/>
        <w:spacing w:line="276" w:lineRule="auto"/>
        <w:rPr>
          <w:rFonts w:ascii="Garamond" w:hAnsi="Garamond" w:cstheme="minorHAnsi"/>
          <w:sz w:val="22"/>
          <w:szCs w:val="22"/>
        </w:rPr>
      </w:pPr>
      <w:r w:rsidRPr="005C78DA">
        <w:rPr>
          <w:rFonts w:ascii="Garamond" w:hAnsi="Garamond" w:cstheme="minorHAnsi"/>
          <w:spacing w:val="-3"/>
          <w:sz w:val="22"/>
          <w:szCs w:val="22"/>
        </w:rPr>
        <w:t>Payers must report n</w:t>
      </w:r>
      <w:r w:rsidR="009F2DC1" w:rsidRPr="005C78DA">
        <w:rPr>
          <w:rFonts w:ascii="Garamond" w:hAnsi="Garamond" w:cstheme="minorHAnsi"/>
          <w:spacing w:val="-3"/>
          <w:sz w:val="22"/>
          <w:szCs w:val="22"/>
        </w:rPr>
        <w:t xml:space="preserve">on-claims payments </w:t>
      </w:r>
      <w:r w:rsidR="002A78D8">
        <w:rPr>
          <w:rFonts w:ascii="Garamond" w:hAnsi="Garamond" w:cstheme="minorHAnsi"/>
          <w:spacing w:val="-3"/>
          <w:sz w:val="22"/>
          <w:szCs w:val="22"/>
        </w:rPr>
        <w:t>(when applicable) within each of the three templates (Hospital, Physician Group, Other Provider)</w:t>
      </w:r>
      <w:r w:rsidR="009F2DC1" w:rsidRPr="005C78DA">
        <w:rPr>
          <w:rFonts w:ascii="Garamond" w:hAnsi="Garamond" w:cstheme="minorHAnsi"/>
          <w:spacing w:val="-3"/>
          <w:sz w:val="22"/>
          <w:szCs w:val="22"/>
        </w:rPr>
        <w:t xml:space="preserve">. </w:t>
      </w:r>
      <w:r w:rsidR="00F33E8C" w:rsidRPr="005C78DA">
        <w:rPr>
          <w:rFonts w:ascii="Garamond" w:hAnsi="Garamond" w:cstheme="minorHAnsi"/>
          <w:spacing w:val="-3"/>
          <w:sz w:val="22"/>
          <w:szCs w:val="22"/>
        </w:rPr>
        <w:t>N</w:t>
      </w:r>
      <w:r w:rsidR="0032185A" w:rsidRPr="005C78DA">
        <w:rPr>
          <w:rFonts w:ascii="Garamond" w:hAnsi="Garamond" w:cstheme="minorHAnsi"/>
          <w:spacing w:val="-3"/>
          <w:sz w:val="22"/>
          <w:szCs w:val="22"/>
        </w:rPr>
        <w:t>on-claims payments</w:t>
      </w:r>
      <w:r w:rsidR="00F33E8C" w:rsidRPr="005C78DA">
        <w:rPr>
          <w:rFonts w:ascii="Garamond" w:hAnsi="Garamond" w:cstheme="minorHAnsi"/>
          <w:spacing w:val="-3"/>
          <w:sz w:val="22"/>
          <w:szCs w:val="22"/>
        </w:rPr>
        <w:t xml:space="preserve"> may be</w:t>
      </w:r>
      <w:r w:rsidR="0032185A" w:rsidRPr="005C78DA">
        <w:rPr>
          <w:rFonts w:ascii="Garamond" w:hAnsi="Garamond" w:cstheme="minorHAnsi"/>
          <w:spacing w:val="-3"/>
          <w:sz w:val="22"/>
          <w:szCs w:val="22"/>
        </w:rPr>
        <w:t xml:space="preserve"> “specified” </w:t>
      </w:r>
      <w:r w:rsidR="00F33E8C" w:rsidRPr="005C78DA">
        <w:rPr>
          <w:rFonts w:ascii="Garamond" w:hAnsi="Garamond" w:cstheme="minorHAnsi"/>
          <w:spacing w:val="-3"/>
          <w:sz w:val="22"/>
          <w:szCs w:val="22"/>
        </w:rPr>
        <w:t>or</w:t>
      </w:r>
      <w:r w:rsidR="0032185A" w:rsidRPr="005C78DA">
        <w:rPr>
          <w:rFonts w:ascii="Garamond" w:hAnsi="Garamond" w:cstheme="minorHAnsi"/>
          <w:spacing w:val="-3"/>
          <w:sz w:val="22"/>
          <w:szCs w:val="22"/>
        </w:rPr>
        <w:t xml:space="preserve"> “non-specified.”</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Specified payments are payments that are directly attributable to a provider, service setting, insurance category, and product type; for example, a performance bonus paid to </w:t>
      </w:r>
      <w:r w:rsidR="00F33E8C" w:rsidRPr="005C78DA">
        <w:rPr>
          <w:rFonts w:ascii="Garamond" w:hAnsi="Garamond" w:cstheme="minorHAnsi"/>
          <w:spacing w:val="-3"/>
          <w:sz w:val="22"/>
          <w:szCs w:val="22"/>
        </w:rPr>
        <w:t xml:space="preserve">a </w:t>
      </w:r>
      <w:r w:rsidR="0032185A" w:rsidRPr="005C78DA">
        <w:rPr>
          <w:rFonts w:ascii="Garamond" w:hAnsi="Garamond" w:cstheme="minorHAnsi"/>
          <w:spacing w:val="-3"/>
          <w:sz w:val="22"/>
          <w:szCs w:val="22"/>
        </w:rPr>
        <w:t>hospital for inpatient services</w:t>
      </w:r>
      <w:r w:rsidR="00473691" w:rsidRPr="005C78DA">
        <w:rPr>
          <w:rFonts w:ascii="Garamond" w:hAnsi="Garamond" w:cstheme="minorHAnsi"/>
          <w:spacing w:val="-3"/>
          <w:sz w:val="22"/>
          <w:szCs w:val="22"/>
        </w:rPr>
        <w:t xml:space="preserve"> for Medicare Advantage HMO plans</w:t>
      </w:r>
      <w:r w:rsidR="0032185A" w:rsidRPr="005C78DA">
        <w:rPr>
          <w:rFonts w:ascii="Garamond" w:hAnsi="Garamond" w:cstheme="minorHAnsi"/>
          <w:spacing w:val="-3"/>
          <w:sz w:val="22"/>
          <w:szCs w:val="22"/>
        </w:rPr>
        <w:t>.</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Non-specified payments are payments that are only attributable in part to a provider, service setting, insurance category and product type; for example, a performance bonus paid to a hospital, but not </w:t>
      </w:r>
      <w:r w:rsidR="00F978D0" w:rsidRPr="005C78DA">
        <w:rPr>
          <w:rFonts w:ascii="Garamond" w:hAnsi="Garamond" w:cstheme="minorHAnsi"/>
          <w:spacing w:val="-3"/>
          <w:sz w:val="22"/>
          <w:szCs w:val="22"/>
        </w:rPr>
        <w:t>otherwise specified for a given product or patient population</w:t>
      </w:r>
      <w:r w:rsidR="0032185A" w:rsidRPr="005C78DA">
        <w:rPr>
          <w:rFonts w:ascii="Garamond" w:hAnsi="Garamond" w:cstheme="minorHAnsi"/>
          <w:spacing w:val="-3"/>
          <w:sz w:val="22"/>
          <w:szCs w:val="22"/>
        </w:rPr>
        <w:t xml:space="preserve"> at that hospital.</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Payers </w:t>
      </w:r>
      <w:r w:rsidR="00854165" w:rsidRPr="005C78DA">
        <w:rPr>
          <w:rFonts w:ascii="Garamond" w:hAnsi="Garamond" w:cstheme="minorHAnsi"/>
          <w:spacing w:val="-3"/>
          <w:sz w:val="22"/>
          <w:szCs w:val="22"/>
        </w:rPr>
        <w:t>must</w:t>
      </w:r>
      <w:r w:rsidR="0032185A" w:rsidRPr="005C78DA">
        <w:rPr>
          <w:rFonts w:ascii="Garamond" w:hAnsi="Garamond" w:cstheme="minorHAnsi"/>
          <w:spacing w:val="-3"/>
          <w:sz w:val="22"/>
          <w:szCs w:val="22"/>
        </w:rPr>
        <w:t xml:space="preserve"> report the specified payment amounts whenever </w:t>
      </w:r>
      <w:r w:rsidR="00C67521">
        <w:rPr>
          <w:rFonts w:ascii="Garamond" w:hAnsi="Garamond" w:cstheme="minorHAnsi"/>
          <w:spacing w:val="-3"/>
          <w:sz w:val="22"/>
          <w:szCs w:val="22"/>
        </w:rPr>
        <w:t>these</w:t>
      </w:r>
      <w:r w:rsidR="00C67521" w:rsidRPr="005C78DA">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data </w:t>
      </w:r>
      <w:r w:rsidR="00C67521">
        <w:rPr>
          <w:rFonts w:ascii="Garamond" w:hAnsi="Garamond" w:cstheme="minorHAnsi"/>
          <w:spacing w:val="-3"/>
          <w:sz w:val="22"/>
          <w:szCs w:val="22"/>
        </w:rPr>
        <w:t>are</w:t>
      </w:r>
      <w:r w:rsidR="0032185A" w:rsidRPr="005C78DA">
        <w:rPr>
          <w:rFonts w:ascii="Garamond" w:hAnsi="Garamond" w:cstheme="minorHAnsi"/>
          <w:spacing w:val="-3"/>
          <w:sz w:val="22"/>
          <w:szCs w:val="22"/>
        </w:rPr>
        <w:t xml:space="preserve"> available.</w:t>
      </w:r>
      <w:r w:rsidR="00AB7EBF">
        <w:rPr>
          <w:rFonts w:ascii="Garamond" w:hAnsi="Garamond" w:cstheme="minorHAnsi"/>
          <w:spacing w:val="-3"/>
          <w:sz w:val="22"/>
          <w:szCs w:val="22"/>
        </w:rPr>
        <w:t xml:space="preserve"> </w:t>
      </w:r>
      <w:r w:rsidR="0032185A" w:rsidRPr="005C78DA">
        <w:rPr>
          <w:rFonts w:ascii="Garamond" w:hAnsi="Garamond" w:cstheme="minorHAnsi"/>
          <w:spacing w:val="-3"/>
          <w:sz w:val="22"/>
          <w:szCs w:val="22"/>
        </w:rPr>
        <w:t xml:space="preserve">For the balance of non-specified payments, payers </w:t>
      </w:r>
      <w:r w:rsidR="00C95B81" w:rsidRPr="005C78DA">
        <w:rPr>
          <w:rFonts w:ascii="Garamond" w:hAnsi="Garamond" w:cstheme="minorHAnsi"/>
          <w:sz w:val="22"/>
          <w:szCs w:val="22"/>
        </w:rPr>
        <w:t xml:space="preserve">must allocate on the basis of percentage of claims payments. </w:t>
      </w:r>
      <w:r w:rsidR="009F2DC1" w:rsidRPr="005C78DA">
        <w:rPr>
          <w:rFonts w:ascii="Garamond" w:hAnsi="Garamond" w:cstheme="minorHAnsi"/>
          <w:sz w:val="22"/>
          <w:szCs w:val="22"/>
        </w:rPr>
        <w:t xml:space="preserve">Non-claims </w:t>
      </w:r>
      <w:r w:rsidR="00C95B81" w:rsidRPr="005C78DA">
        <w:rPr>
          <w:rFonts w:ascii="Garamond" w:hAnsi="Garamond" w:cstheme="minorHAnsi"/>
          <w:sz w:val="22"/>
          <w:szCs w:val="22"/>
        </w:rPr>
        <w:t xml:space="preserve">payments made to </w:t>
      </w:r>
      <w:r w:rsidR="009F2DC1" w:rsidRPr="005C78DA">
        <w:rPr>
          <w:rFonts w:ascii="Garamond" w:hAnsi="Garamond" w:cstheme="minorHAnsi"/>
          <w:sz w:val="22"/>
          <w:szCs w:val="22"/>
        </w:rPr>
        <w:t>hospital system</w:t>
      </w:r>
      <w:r w:rsidR="00C95B81" w:rsidRPr="005C78DA">
        <w:rPr>
          <w:rFonts w:ascii="Garamond" w:hAnsi="Garamond" w:cstheme="minorHAnsi"/>
          <w:sz w:val="22"/>
          <w:szCs w:val="22"/>
        </w:rPr>
        <w:t>s</w:t>
      </w:r>
      <w:r w:rsidR="009F2DC1" w:rsidRPr="005C78DA">
        <w:rPr>
          <w:rFonts w:ascii="Garamond" w:hAnsi="Garamond" w:cstheme="minorHAnsi"/>
          <w:sz w:val="22"/>
          <w:szCs w:val="22"/>
        </w:rPr>
        <w:t xml:space="preserve"> or provider group</w:t>
      </w:r>
      <w:r w:rsidR="00C95B81" w:rsidRPr="005C78DA">
        <w:rPr>
          <w:rFonts w:ascii="Garamond" w:hAnsi="Garamond" w:cstheme="minorHAnsi"/>
          <w:sz w:val="22"/>
          <w:szCs w:val="22"/>
        </w:rPr>
        <w:t>s</w:t>
      </w:r>
      <w:r w:rsidR="009F2DC1" w:rsidRPr="005C78DA">
        <w:rPr>
          <w:rFonts w:ascii="Garamond" w:hAnsi="Garamond" w:cstheme="minorHAnsi"/>
          <w:sz w:val="22"/>
          <w:szCs w:val="22"/>
        </w:rPr>
        <w:t xml:space="preserve"> as a whole must be allocated to each hospital (inpatient and outpatient individually) or physician local practice group according to the claims payments made to the entities as a percent of total cla</w:t>
      </w:r>
      <w:r w:rsidR="008741B8" w:rsidRPr="005C78DA">
        <w:rPr>
          <w:rFonts w:ascii="Garamond" w:hAnsi="Garamond" w:cstheme="minorHAnsi"/>
          <w:sz w:val="22"/>
          <w:szCs w:val="22"/>
        </w:rPr>
        <w:t>ims payments.</w:t>
      </w:r>
      <w:r w:rsidR="00AB7EBF">
        <w:rPr>
          <w:rFonts w:ascii="Garamond" w:hAnsi="Garamond" w:cstheme="minorHAnsi"/>
          <w:sz w:val="22"/>
          <w:szCs w:val="22"/>
        </w:rPr>
        <w:t xml:space="preserve"> </w:t>
      </w:r>
      <w:r w:rsidR="00164D93">
        <w:rPr>
          <w:rFonts w:ascii="Garamond" w:hAnsi="Garamond" w:cstheme="minorHAnsi"/>
          <w:sz w:val="22"/>
          <w:szCs w:val="22"/>
        </w:rPr>
        <w:t>(</w:t>
      </w:r>
      <w:r w:rsidR="009F2DC1" w:rsidRPr="005C78DA">
        <w:rPr>
          <w:rFonts w:ascii="Garamond" w:hAnsi="Garamond" w:cstheme="minorHAnsi"/>
          <w:sz w:val="22"/>
          <w:szCs w:val="22"/>
        </w:rPr>
        <w:t>Please see the example i</w:t>
      </w:r>
      <w:r w:rsidR="00AE1831">
        <w:rPr>
          <w:rFonts w:ascii="Garamond" w:hAnsi="Garamond" w:cstheme="minorHAnsi"/>
          <w:sz w:val="22"/>
          <w:szCs w:val="22"/>
        </w:rPr>
        <w:t>n Appendix C for further detail.</w:t>
      </w:r>
      <w:r w:rsidR="00164D93">
        <w:rPr>
          <w:rFonts w:ascii="Garamond" w:hAnsi="Garamond" w:cstheme="minorHAnsi"/>
          <w:sz w:val="22"/>
          <w:szCs w:val="22"/>
        </w:rPr>
        <w:t>)</w:t>
      </w:r>
      <w:r w:rsidR="00AE1831">
        <w:rPr>
          <w:rFonts w:ascii="Garamond" w:hAnsi="Garamond" w:cstheme="minorHAnsi"/>
          <w:sz w:val="22"/>
          <w:szCs w:val="22"/>
        </w:rPr>
        <w:t xml:space="preserve"> </w:t>
      </w:r>
    </w:p>
    <w:p w14:paraId="3FBB5851" w14:textId="77777777" w:rsidR="0061728A" w:rsidRPr="005C78DA" w:rsidRDefault="0061728A" w:rsidP="00D94268">
      <w:pPr>
        <w:pStyle w:val="Default"/>
        <w:spacing w:line="276" w:lineRule="auto"/>
        <w:rPr>
          <w:rFonts w:ascii="Garamond" w:hAnsi="Garamond" w:cstheme="minorHAnsi"/>
          <w:sz w:val="22"/>
          <w:szCs w:val="22"/>
        </w:rPr>
      </w:pPr>
    </w:p>
    <w:p w14:paraId="1E10F8FD" w14:textId="5A84D4C5" w:rsidR="00AB3EDB" w:rsidRDefault="00C95B81" w:rsidP="00D94268">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In the </w:t>
      </w:r>
      <w:r w:rsidR="00956161" w:rsidRPr="005C78DA">
        <w:rPr>
          <w:rFonts w:ascii="Garamond" w:hAnsi="Garamond" w:cstheme="minorHAnsi"/>
          <w:sz w:val="22"/>
          <w:szCs w:val="22"/>
        </w:rPr>
        <w:t>RP</w:t>
      </w:r>
      <w:r w:rsidRPr="005C78DA">
        <w:rPr>
          <w:rFonts w:ascii="Garamond" w:hAnsi="Garamond" w:cstheme="minorHAnsi"/>
          <w:sz w:val="22"/>
          <w:szCs w:val="22"/>
        </w:rPr>
        <w:t xml:space="preserve"> submission, payers will only report the </w:t>
      </w:r>
      <w:r w:rsidR="0032185A" w:rsidRPr="005C78DA">
        <w:rPr>
          <w:rFonts w:ascii="Garamond" w:hAnsi="Garamond" w:cstheme="minorHAnsi"/>
          <w:sz w:val="22"/>
          <w:szCs w:val="22"/>
        </w:rPr>
        <w:t xml:space="preserve">final </w:t>
      </w:r>
      <w:r w:rsidR="0061728A" w:rsidRPr="005C78DA">
        <w:rPr>
          <w:rFonts w:ascii="Garamond" w:hAnsi="Garamond" w:cstheme="minorHAnsi"/>
          <w:sz w:val="22"/>
          <w:szCs w:val="22"/>
        </w:rPr>
        <w:t>non-claims amount</w:t>
      </w:r>
      <w:r w:rsidR="00FB3A9D" w:rsidRPr="005C78DA">
        <w:rPr>
          <w:rFonts w:ascii="Garamond" w:hAnsi="Garamond" w:cstheme="minorHAnsi"/>
          <w:sz w:val="22"/>
          <w:szCs w:val="22"/>
        </w:rPr>
        <w:t xml:space="preserve"> (specifi</w:t>
      </w:r>
      <w:r w:rsidR="00C67521">
        <w:rPr>
          <w:rFonts w:ascii="Garamond" w:hAnsi="Garamond" w:cstheme="minorHAnsi"/>
          <w:sz w:val="22"/>
          <w:szCs w:val="22"/>
        </w:rPr>
        <w:t>ed</w:t>
      </w:r>
      <w:r w:rsidR="00FB3A9D" w:rsidRPr="005C78DA">
        <w:rPr>
          <w:rFonts w:ascii="Garamond" w:hAnsi="Garamond" w:cstheme="minorHAnsi"/>
          <w:sz w:val="22"/>
          <w:szCs w:val="22"/>
        </w:rPr>
        <w:t xml:space="preserve"> plus non-specified)</w:t>
      </w:r>
      <w:r w:rsidR="0061728A" w:rsidRPr="005C78DA">
        <w:rPr>
          <w:rFonts w:ascii="Garamond" w:hAnsi="Garamond" w:cstheme="minorHAnsi"/>
          <w:sz w:val="22"/>
          <w:szCs w:val="22"/>
        </w:rPr>
        <w:t xml:space="preserve"> for each </w:t>
      </w:r>
      <w:r w:rsidRPr="005C78DA">
        <w:rPr>
          <w:rFonts w:ascii="Garamond" w:hAnsi="Garamond" w:cstheme="minorHAnsi"/>
          <w:sz w:val="22"/>
          <w:szCs w:val="22"/>
        </w:rPr>
        <w:t xml:space="preserve">provider, </w:t>
      </w:r>
      <w:r w:rsidR="0061728A" w:rsidRPr="005C78DA">
        <w:rPr>
          <w:rFonts w:ascii="Garamond" w:hAnsi="Garamond" w:cstheme="minorHAnsi"/>
          <w:sz w:val="22"/>
          <w:szCs w:val="22"/>
        </w:rPr>
        <w:t>insurance category</w:t>
      </w:r>
      <w:r w:rsidRPr="005C78DA">
        <w:rPr>
          <w:rFonts w:ascii="Garamond" w:hAnsi="Garamond" w:cstheme="minorHAnsi"/>
          <w:sz w:val="22"/>
          <w:szCs w:val="22"/>
        </w:rPr>
        <w:t>,</w:t>
      </w:r>
      <w:r w:rsidR="0061728A" w:rsidRPr="005C78DA">
        <w:rPr>
          <w:rFonts w:ascii="Garamond" w:hAnsi="Garamond" w:cstheme="minorHAnsi"/>
          <w:sz w:val="22"/>
          <w:szCs w:val="22"/>
        </w:rPr>
        <w:t xml:space="preserve"> and product type </w:t>
      </w:r>
      <w:r w:rsidRPr="005C78DA">
        <w:rPr>
          <w:rFonts w:ascii="Garamond" w:hAnsi="Garamond" w:cstheme="minorHAnsi"/>
          <w:sz w:val="22"/>
          <w:szCs w:val="22"/>
        </w:rPr>
        <w:t>combination</w:t>
      </w:r>
      <w:r w:rsidR="0061728A" w:rsidRPr="005C78DA">
        <w:rPr>
          <w:rFonts w:ascii="Garamond" w:hAnsi="Garamond" w:cstheme="minorHAnsi"/>
          <w:sz w:val="22"/>
          <w:szCs w:val="22"/>
        </w:rPr>
        <w:t>.</w:t>
      </w:r>
      <w:r w:rsidR="00AB7EBF">
        <w:rPr>
          <w:rFonts w:ascii="Garamond" w:hAnsi="Garamond" w:cstheme="minorHAnsi"/>
          <w:sz w:val="22"/>
          <w:szCs w:val="22"/>
        </w:rPr>
        <w:t xml:space="preserve"> </w:t>
      </w:r>
      <w:r w:rsidR="00836B99">
        <w:rPr>
          <w:rFonts w:ascii="Garamond" w:hAnsi="Garamond" w:cstheme="minorHAnsi"/>
          <w:sz w:val="22"/>
          <w:szCs w:val="22"/>
        </w:rPr>
        <w:t xml:space="preserve">If payers allocate non-claims payments to individual services by an internal methodology, then the non-claims payments should be reported in that allocation. If payers do not allocate non-claims payments, then non-claims should be entered as its own service. See Appendix </w:t>
      </w:r>
      <w:r w:rsidR="0016504A">
        <w:rPr>
          <w:rFonts w:ascii="Garamond" w:hAnsi="Garamond" w:cstheme="minorHAnsi"/>
          <w:sz w:val="22"/>
          <w:szCs w:val="22"/>
        </w:rPr>
        <w:t xml:space="preserve">F </w:t>
      </w:r>
      <w:r w:rsidR="00836B99">
        <w:rPr>
          <w:rFonts w:ascii="Garamond" w:hAnsi="Garamond" w:cstheme="minorHAnsi"/>
          <w:sz w:val="22"/>
          <w:szCs w:val="22"/>
        </w:rPr>
        <w:t xml:space="preserve">for further details on how to report non-claims payments. </w:t>
      </w:r>
      <w:r w:rsidR="001D16A5" w:rsidRPr="005C78DA">
        <w:rPr>
          <w:rFonts w:ascii="Garamond" w:hAnsi="Garamond" w:cstheme="minorHAnsi"/>
          <w:sz w:val="22"/>
          <w:szCs w:val="22"/>
        </w:rPr>
        <w:t>CHIA</w:t>
      </w:r>
      <w:r w:rsidR="0061728A" w:rsidRPr="005C78DA">
        <w:rPr>
          <w:rFonts w:ascii="Garamond" w:hAnsi="Garamond" w:cstheme="minorHAnsi"/>
          <w:sz w:val="22"/>
          <w:szCs w:val="22"/>
        </w:rPr>
        <w:t xml:space="preserve"> may request additional de</w:t>
      </w:r>
      <w:r w:rsidRPr="005C78DA">
        <w:rPr>
          <w:rFonts w:ascii="Garamond" w:hAnsi="Garamond" w:cstheme="minorHAnsi"/>
          <w:sz w:val="22"/>
          <w:szCs w:val="22"/>
        </w:rPr>
        <w:t>tail regarding non-claims payment</w:t>
      </w:r>
      <w:r w:rsidR="0061728A" w:rsidRPr="005C78DA">
        <w:rPr>
          <w:rFonts w:ascii="Garamond" w:hAnsi="Garamond" w:cstheme="minorHAnsi"/>
          <w:sz w:val="22"/>
          <w:szCs w:val="22"/>
        </w:rPr>
        <w:t xml:space="preserve"> allocation.</w:t>
      </w:r>
    </w:p>
    <w:p w14:paraId="4AF4A9BF" w14:textId="4967E5D8" w:rsidR="0075221C" w:rsidRDefault="0075221C" w:rsidP="00D94268">
      <w:pPr>
        <w:pStyle w:val="Default"/>
        <w:spacing w:line="276" w:lineRule="auto"/>
        <w:rPr>
          <w:rFonts w:ascii="Garamond" w:hAnsi="Garamond" w:cstheme="minorHAnsi"/>
          <w:sz w:val="22"/>
          <w:szCs w:val="22"/>
        </w:rPr>
      </w:pPr>
    </w:p>
    <w:p w14:paraId="31E96EB4" w14:textId="77777777" w:rsidR="00966B8F" w:rsidRPr="005C78DA" w:rsidRDefault="00966B8F" w:rsidP="00D94268">
      <w:pPr>
        <w:pStyle w:val="Default"/>
        <w:spacing w:line="276" w:lineRule="auto"/>
        <w:rPr>
          <w:rFonts w:ascii="Garamond" w:hAnsi="Garamond" w:cstheme="minorHAnsi"/>
          <w:sz w:val="22"/>
          <w:szCs w:val="22"/>
        </w:rPr>
      </w:pPr>
    </w:p>
    <w:p w14:paraId="42D94139" w14:textId="77777777" w:rsidR="00606BE0" w:rsidRDefault="007356BB" w:rsidP="007A765E">
      <w:pPr>
        <w:pStyle w:val="Default"/>
        <w:numPr>
          <w:ilvl w:val="0"/>
          <w:numId w:val="10"/>
        </w:numPr>
        <w:spacing w:line="276" w:lineRule="auto"/>
        <w:outlineLvl w:val="1"/>
        <w:rPr>
          <w:rFonts w:ascii="Garamond" w:hAnsi="Garamond" w:cstheme="minorHAnsi"/>
          <w:b/>
          <w:sz w:val="22"/>
          <w:szCs w:val="22"/>
        </w:rPr>
      </w:pPr>
      <w:bookmarkStart w:id="6" w:name="_Toc112161030"/>
      <w:r w:rsidRPr="005C78DA">
        <w:rPr>
          <w:rFonts w:ascii="Garamond" w:hAnsi="Garamond" w:cstheme="minorHAnsi"/>
          <w:b/>
          <w:sz w:val="22"/>
          <w:szCs w:val="22"/>
        </w:rPr>
        <w:t>File Layouts</w:t>
      </w:r>
      <w:bookmarkEnd w:id="6"/>
    </w:p>
    <w:p w14:paraId="23A80824" w14:textId="77777777" w:rsidR="005F7408" w:rsidRPr="005C78DA" w:rsidRDefault="005F7408" w:rsidP="005F7408">
      <w:pPr>
        <w:pStyle w:val="Default"/>
        <w:spacing w:line="276" w:lineRule="auto"/>
        <w:ind w:left="360"/>
        <w:outlineLvl w:val="1"/>
        <w:rPr>
          <w:rFonts w:ascii="Garamond" w:hAnsi="Garamond" w:cstheme="minorHAnsi"/>
          <w:b/>
          <w:sz w:val="22"/>
          <w:szCs w:val="22"/>
        </w:rPr>
      </w:pPr>
    </w:p>
    <w:p w14:paraId="004D1E28" w14:textId="77777777" w:rsidR="005F7408" w:rsidRPr="005F7408" w:rsidRDefault="007A765E" w:rsidP="005F7408">
      <w:pPr>
        <w:rPr>
          <w:rFonts w:ascii="Garamond" w:hAnsi="Garamond" w:cstheme="minorHAnsi"/>
          <w:b/>
          <w:sz w:val="22"/>
          <w:szCs w:val="22"/>
        </w:rPr>
      </w:pPr>
      <w:r>
        <w:rPr>
          <w:rFonts w:ascii="Garamond" w:hAnsi="Garamond" w:cstheme="minorHAnsi"/>
          <w:b/>
          <w:sz w:val="22"/>
          <w:szCs w:val="22"/>
        </w:rPr>
        <w:t xml:space="preserve">a.) </w:t>
      </w:r>
      <w:r w:rsidR="009B70F3" w:rsidRPr="005F7408">
        <w:rPr>
          <w:rFonts w:ascii="Garamond" w:hAnsi="Garamond" w:cstheme="minorHAnsi"/>
          <w:b/>
          <w:sz w:val="22"/>
          <w:szCs w:val="22"/>
        </w:rPr>
        <w:t>Hospital Inpatient</w:t>
      </w:r>
    </w:p>
    <w:p w14:paraId="298A862D" w14:textId="36F98DE3" w:rsidR="009B70F3" w:rsidRPr="005F7408" w:rsidRDefault="00B578A7" w:rsidP="005F7408">
      <w:pPr>
        <w:spacing w:line="276" w:lineRule="auto"/>
        <w:rPr>
          <w:rFonts w:ascii="Garamond" w:hAnsi="Garamond" w:cstheme="minorHAnsi"/>
          <w:sz w:val="22"/>
          <w:szCs w:val="22"/>
        </w:rPr>
      </w:pPr>
      <w:r w:rsidRPr="005F7408">
        <w:rPr>
          <w:rFonts w:ascii="Garamond" w:hAnsi="Garamond" w:cstheme="minorHAnsi"/>
          <w:sz w:val="22"/>
          <w:szCs w:val="22"/>
        </w:rPr>
        <w:lastRenderedPageBreak/>
        <w:t xml:space="preserve">Hospital inpatient </w:t>
      </w:r>
      <w:r w:rsidR="00D431C1" w:rsidRPr="005F7408">
        <w:rPr>
          <w:rFonts w:ascii="Garamond" w:hAnsi="Garamond" w:cstheme="minorHAnsi"/>
          <w:sz w:val="22"/>
          <w:szCs w:val="22"/>
        </w:rPr>
        <w:t>data</w:t>
      </w:r>
      <w:r w:rsidRPr="005F7408">
        <w:rPr>
          <w:rFonts w:ascii="Garamond" w:hAnsi="Garamond" w:cstheme="minorHAnsi"/>
          <w:sz w:val="22"/>
          <w:szCs w:val="22"/>
        </w:rPr>
        <w:t xml:space="preserve"> will be</w:t>
      </w:r>
      <w:r w:rsidR="00CE0243" w:rsidRPr="005F7408">
        <w:rPr>
          <w:rFonts w:ascii="Garamond" w:hAnsi="Garamond" w:cstheme="minorHAnsi"/>
          <w:sz w:val="22"/>
          <w:szCs w:val="22"/>
        </w:rPr>
        <w:t xml:space="preserve"> reported in </w:t>
      </w:r>
      <w:r w:rsidR="00A529B9">
        <w:rPr>
          <w:rFonts w:ascii="Garamond" w:hAnsi="Garamond" w:cstheme="minorHAnsi"/>
          <w:sz w:val="22"/>
          <w:szCs w:val="22"/>
        </w:rPr>
        <w:t>the Hos Inpatient Data tab of the Hospital RP Template</w:t>
      </w:r>
      <w:r w:rsidR="00522EAF" w:rsidRPr="005F7408">
        <w:rPr>
          <w:rFonts w:ascii="Garamond" w:hAnsi="Garamond" w:cstheme="minorHAnsi"/>
          <w:sz w:val="22"/>
          <w:szCs w:val="22"/>
        </w:rPr>
        <w:t>,</w:t>
      </w:r>
      <w:r w:rsidR="00CE0243" w:rsidRPr="005F7408">
        <w:rPr>
          <w:rFonts w:ascii="Garamond" w:hAnsi="Garamond" w:cstheme="minorHAnsi"/>
          <w:sz w:val="22"/>
          <w:szCs w:val="22"/>
        </w:rPr>
        <w:t xml:space="preserve"> separately identified by </w:t>
      </w:r>
      <w:r w:rsidR="003008B2" w:rsidRPr="005F7408">
        <w:rPr>
          <w:rFonts w:ascii="Garamond" w:hAnsi="Garamond" w:cstheme="minorHAnsi"/>
          <w:sz w:val="22"/>
          <w:szCs w:val="22"/>
        </w:rPr>
        <w:t>hospital type</w:t>
      </w:r>
      <w:r w:rsidR="00CE0243" w:rsidRPr="005F7408">
        <w:rPr>
          <w:rFonts w:ascii="Garamond" w:hAnsi="Garamond" w:cstheme="minorHAnsi"/>
          <w:sz w:val="22"/>
          <w:szCs w:val="22"/>
        </w:rPr>
        <w:t xml:space="preserve"> (acute, psychiatric/substance abuse, chronic, rehabilitation</w:t>
      </w:r>
      <w:r w:rsidR="00A529B9">
        <w:rPr>
          <w:rFonts w:ascii="Garamond" w:hAnsi="Garamond" w:cstheme="minorHAnsi"/>
          <w:sz w:val="22"/>
          <w:szCs w:val="22"/>
        </w:rPr>
        <w:t xml:space="preserve"> (see</w:t>
      </w:r>
      <w:r w:rsidR="00164D93" w:rsidRPr="005F7408">
        <w:rPr>
          <w:rFonts w:ascii="Garamond" w:hAnsi="Garamond" w:cstheme="minorHAnsi"/>
          <w:sz w:val="22"/>
          <w:szCs w:val="22"/>
        </w:rPr>
        <w:t xml:space="preserve"> Appendix </w:t>
      </w:r>
      <w:r w:rsidR="0016504A">
        <w:rPr>
          <w:rFonts w:ascii="Garamond" w:hAnsi="Garamond" w:cstheme="minorHAnsi"/>
          <w:sz w:val="22"/>
          <w:szCs w:val="22"/>
        </w:rPr>
        <w:t>D</w:t>
      </w:r>
      <w:r w:rsidR="00164D93" w:rsidRPr="005F7408">
        <w:rPr>
          <w:rFonts w:ascii="Garamond" w:hAnsi="Garamond" w:cstheme="minorHAnsi"/>
          <w:sz w:val="22"/>
          <w:szCs w:val="22"/>
        </w:rPr>
        <w:t>, Table C</w:t>
      </w:r>
      <w:r w:rsidR="00DC3C95">
        <w:rPr>
          <w:rFonts w:ascii="Garamond" w:hAnsi="Garamond" w:cstheme="minorHAnsi"/>
          <w:sz w:val="22"/>
          <w:szCs w:val="22"/>
        </w:rPr>
        <w:t>)</w:t>
      </w:r>
      <w:r w:rsidR="00CE0243" w:rsidRPr="005F7408">
        <w:rPr>
          <w:rFonts w:ascii="Garamond" w:hAnsi="Garamond" w:cstheme="minorHAnsi"/>
          <w:sz w:val="22"/>
          <w:szCs w:val="22"/>
        </w:rPr>
        <w:t>)</w:t>
      </w:r>
      <w:r w:rsidR="008A6948" w:rsidRPr="005F7408">
        <w:rPr>
          <w:rFonts w:ascii="Garamond" w:hAnsi="Garamond" w:cstheme="minorHAnsi"/>
          <w:sz w:val="22"/>
          <w:szCs w:val="22"/>
        </w:rPr>
        <w:t>.</w:t>
      </w:r>
      <w:r w:rsidR="00AB7EBF" w:rsidRPr="005F7408">
        <w:rPr>
          <w:rFonts w:ascii="Garamond" w:hAnsi="Garamond" w:cstheme="minorHAnsi"/>
          <w:sz w:val="22"/>
          <w:szCs w:val="22"/>
        </w:rPr>
        <w:t xml:space="preserve"> </w:t>
      </w:r>
      <w:r w:rsidR="009B70F3" w:rsidRPr="005F7408">
        <w:rPr>
          <w:rFonts w:ascii="Garamond" w:hAnsi="Garamond" w:cstheme="minorHAnsi"/>
          <w:sz w:val="22"/>
          <w:szCs w:val="22"/>
        </w:rPr>
        <w:t xml:space="preserve">Payers must report </w:t>
      </w:r>
      <w:r w:rsidR="00522EAF" w:rsidRPr="005F7408">
        <w:rPr>
          <w:rFonts w:ascii="Garamond" w:hAnsi="Garamond" w:cstheme="minorHAnsi"/>
          <w:sz w:val="22"/>
          <w:szCs w:val="22"/>
        </w:rPr>
        <w:t xml:space="preserve">total number of discharges, total claims payments, </w:t>
      </w:r>
      <w:r w:rsidR="009B70F3" w:rsidRPr="005F7408">
        <w:rPr>
          <w:rFonts w:ascii="Garamond" w:hAnsi="Garamond" w:cstheme="minorHAnsi"/>
          <w:sz w:val="22"/>
          <w:szCs w:val="22"/>
        </w:rPr>
        <w:t>total non-claims payments</w:t>
      </w:r>
      <w:r w:rsidR="00FE04B8" w:rsidRPr="005F7408">
        <w:rPr>
          <w:rFonts w:ascii="Garamond" w:hAnsi="Garamond" w:cstheme="minorHAnsi"/>
          <w:sz w:val="22"/>
          <w:szCs w:val="22"/>
        </w:rPr>
        <w:t xml:space="preserve"> </w:t>
      </w:r>
      <w:r w:rsidR="00522EAF" w:rsidRPr="005F7408">
        <w:rPr>
          <w:rFonts w:ascii="Garamond" w:hAnsi="Garamond" w:cstheme="minorHAnsi"/>
          <w:sz w:val="22"/>
          <w:szCs w:val="22"/>
        </w:rPr>
        <w:t>and case mix</w:t>
      </w:r>
      <w:r w:rsidR="009B70F3" w:rsidRPr="005F7408">
        <w:rPr>
          <w:rFonts w:ascii="Garamond" w:hAnsi="Garamond" w:cstheme="minorHAnsi"/>
          <w:sz w:val="22"/>
          <w:szCs w:val="22"/>
        </w:rPr>
        <w:t xml:space="preserve">. </w:t>
      </w:r>
    </w:p>
    <w:p w14:paraId="424A352E" w14:textId="77777777" w:rsidR="009B70F3" w:rsidRPr="005C78DA" w:rsidRDefault="009B70F3" w:rsidP="00D94268">
      <w:pPr>
        <w:pStyle w:val="Default"/>
        <w:spacing w:line="276" w:lineRule="auto"/>
        <w:ind w:left="360"/>
        <w:rPr>
          <w:rFonts w:ascii="Garamond" w:hAnsi="Garamond" w:cstheme="minorHAnsi"/>
          <w:sz w:val="22"/>
          <w:szCs w:val="22"/>
        </w:rPr>
      </w:pPr>
    </w:p>
    <w:p w14:paraId="1C17C97A" w14:textId="56598ACA" w:rsidR="00CB7549" w:rsidRPr="005C78DA" w:rsidRDefault="009B70F3" w:rsidP="00AA7237">
      <w:pPr>
        <w:pStyle w:val="Default"/>
        <w:spacing w:line="276" w:lineRule="auto"/>
        <w:rPr>
          <w:rFonts w:ascii="Garamond" w:hAnsi="Garamond" w:cstheme="minorHAnsi"/>
          <w:sz w:val="22"/>
          <w:szCs w:val="22"/>
        </w:rPr>
      </w:pPr>
      <w:r w:rsidRPr="005C78DA">
        <w:rPr>
          <w:rFonts w:ascii="Garamond" w:hAnsi="Garamond" w:cstheme="minorHAnsi"/>
          <w:sz w:val="22"/>
          <w:szCs w:val="22"/>
        </w:rPr>
        <w:t xml:space="preserve">Payers must submit additional behavioral health-only </w:t>
      </w:r>
      <w:r w:rsidR="00956161" w:rsidRPr="005C78DA">
        <w:rPr>
          <w:rFonts w:ascii="Garamond" w:hAnsi="Garamond" w:cstheme="minorHAnsi"/>
          <w:sz w:val="22"/>
          <w:szCs w:val="22"/>
        </w:rPr>
        <w:t>RP</w:t>
      </w:r>
      <w:r w:rsidRPr="005C78DA">
        <w:rPr>
          <w:rFonts w:ascii="Garamond" w:hAnsi="Garamond" w:cstheme="minorHAnsi"/>
          <w:sz w:val="22"/>
          <w:szCs w:val="22"/>
        </w:rPr>
        <w:t xml:space="preserve"> data for acute hospitals with psychiatric or substance abuse units.</w:t>
      </w:r>
      <w:r w:rsidR="00AB7EBF">
        <w:rPr>
          <w:rFonts w:ascii="Garamond" w:hAnsi="Garamond" w:cstheme="minorHAnsi"/>
          <w:sz w:val="22"/>
          <w:szCs w:val="22"/>
        </w:rPr>
        <w:t xml:space="preserve"> </w:t>
      </w:r>
      <w:r w:rsidRPr="005C78DA">
        <w:rPr>
          <w:rFonts w:ascii="Garamond" w:hAnsi="Garamond" w:cstheme="minorHAnsi"/>
          <w:sz w:val="22"/>
          <w:szCs w:val="22"/>
        </w:rPr>
        <w:t>For such acute hospitals</w:t>
      </w:r>
      <w:r w:rsidR="008A6948" w:rsidRPr="005C78DA">
        <w:rPr>
          <w:rFonts w:ascii="Garamond" w:hAnsi="Garamond" w:cstheme="minorHAnsi"/>
          <w:sz w:val="22"/>
          <w:szCs w:val="22"/>
        </w:rPr>
        <w:t>,</w:t>
      </w:r>
      <w:r w:rsidRPr="005C78DA">
        <w:rPr>
          <w:rFonts w:ascii="Garamond" w:hAnsi="Garamond" w:cstheme="minorHAnsi"/>
          <w:sz w:val="22"/>
          <w:szCs w:val="22"/>
        </w:rPr>
        <w:t xml:space="preserve"> the payer will report data for the same hospital twice: once </w:t>
      </w:r>
      <w:r w:rsidR="003E2EAD" w:rsidRPr="005C78DA">
        <w:rPr>
          <w:rFonts w:ascii="Garamond" w:hAnsi="Garamond" w:cstheme="minorHAnsi"/>
          <w:sz w:val="22"/>
          <w:szCs w:val="22"/>
        </w:rPr>
        <w:t>as an</w:t>
      </w:r>
      <w:r w:rsidRPr="005C78DA">
        <w:rPr>
          <w:rFonts w:ascii="Garamond" w:hAnsi="Garamond" w:cstheme="minorHAnsi"/>
          <w:sz w:val="22"/>
          <w:szCs w:val="22"/>
        </w:rPr>
        <w:t xml:space="preserve"> acute hospital </w:t>
      </w:r>
      <w:r w:rsidR="00CE3F91" w:rsidRPr="005C78DA">
        <w:rPr>
          <w:rFonts w:ascii="Garamond" w:hAnsi="Garamond" w:cstheme="minorHAnsi"/>
          <w:sz w:val="22"/>
          <w:szCs w:val="22"/>
        </w:rPr>
        <w:t>type</w:t>
      </w:r>
      <w:r w:rsidRPr="005C78DA">
        <w:rPr>
          <w:rFonts w:ascii="Garamond" w:hAnsi="Garamond" w:cstheme="minorHAnsi"/>
          <w:sz w:val="22"/>
          <w:szCs w:val="22"/>
        </w:rPr>
        <w:t xml:space="preserve">, submitting data for all services including behavioral health, and again </w:t>
      </w:r>
      <w:r w:rsidR="003E2EAD" w:rsidRPr="005C78DA">
        <w:rPr>
          <w:rFonts w:ascii="Garamond" w:hAnsi="Garamond" w:cstheme="minorHAnsi"/>
          <w:sz w:val="22"/>
          <w:szCs w:val="22"/>
        </w:rPr>
        <w:t>as a</w:t>
      </w:r>
      <w:r w:rsidRPr="005C78DA">
        <w:rPr>
          <w:rFonts w:ascii="Garamond" w:hAnsi="Garamond" w:cstheme="minorHAnsi"/>
          <w:sz w:val="22"/>
          <w:szCs w:val="22"/>
        </w:rPr>
        <w:t xml:space="preserve"> psychiatric hospital </w:t>
      </w:r>
      <w:r w:rsidR="00CE3F91" w:rsidRPr="005C78DA">
        <w:rPr>
          <w:rFonts w:ascii="Garamond" w:hAnsi="Garamond" w:cstheme="minorHAnsi"/>
          <w:sz w:val="22"/>
          <w:szCs w:val="22"/>
        </w:rPr>
        <w:t>type</w:t>
      </w:r>
      <w:r w:rsidRPr="005C78DA">
        <w:rPr>
          <w:rFonts w:ascii="Garamond" w:hAnsi="Garamond" w:cstheme="minorHAnsi"/>
          <w:sz w:val="22"/>
          <w:szCs w:val="22"/>
        </w:rPr>
        <w:t xml:space="preserve">, submitting behavioral health data only. </w:t>
      </w:r>
    </w:p>
    <w:p w14:paraId="4060FE80" w14:textId="592464E2" w:rsidR="00C53518" w:rsidRPr="005C78DA" w:rsidRDefault="00C53518" w:rsidP="00D94268">
      <w:pPr>
        <w:pStyle w:val="Default"/>
        <w:spacing w:line="276" w:lineRule="auto"/>
        <w:ind w:left="720"/>
        <w:rPr>
          <w:rFonts w:ascii="Garamond" w:hAnsi="Garamond" w:cstheme="minorHAnsi"/>
          <w:sz w:val="22"/>
          <w:szCs w:val="22"/>
        </w:rPr>
      </w:pPr>
    </w:p>
    <w:p w14:paraId="4F33BC5A" w14:textId="77777777" w:rsidR="00D52ABF" w:rsidRPr="00D94268" w:rsidRDefault="007A765E" w:rsidP="000F7846">
      <w:pPr>
        <w:spacing w:line="276" w:lineRule="auto"/>
        <w:rPr>
          <w:rFonts w:ascii="Garamond" w:hAnsi="Garamond" w:cstheme="minorHAnsi"/>
          <w:spacing w:val="-3"/>
          <w:sz w:val="22"/>
          <w:szCs w:val="22"/>
        </w:rPr>
      </w:pPr>
      <w:r>
        <w:rPr>
          <w:rFonts w:ascii="Garamond" w:hAnsi="Garamond" w:cstheme="minorHAnsi"/>
          <w:b/>
          <w:sz w:val="22"/>
          <w:szCs w:val="22"/>
        </w:rPr>
        <w:t xml:space="preserve">b.) </w:t>
      </w:r>
      <w:r w:rsidR="00D52ABF" w:rsidRPr="00D94268">
        <w:rPr>
          <w:rFonts w:ascii="Garamond" w:hAnsi="Garamond" w:cstheme="minorHAnsi"/>
          <w:b/>
          <w:sz w:val="22"/>
          <w:szCs w:val="22"/>
        </w:rPr>
        <w:t>Hospital outpatient, physician</w:t>
      </w:r>
      <w:r w:rsidR="009D4A78" w:rsidRPr="00D94268">
        <w:rPr>
          <w:rFonts w:ascii="Garamond" w:hAnsi="Garamond" w:cstheme="minorHAnsi"/>
          <w:b/>
          <w:sz w:val="22"/>
          <w:szCs w:val="22"/>
        </w:rPr>
        <w:t xml:space="preserve"> group</w:t>
      </w:r>
      <w:r w:rsidR="00D52ABF" w:rsidRPr="00D94268">
        <w:rPr>
          <w:rFonts w:ascii="Garamond" w:hAnsi="Garamond" w:cstheme="minorHAnsi"/>
          <w:b/>
          <w:sz w:val="22"/>
          <w:szCs w:val="22"/>
        </w:rPr>
        <w:t>, and other provider</w:t>
      </w:r>
    </w:p>
    <w:p w14:paraId="0ECDA250" w14:textId="77777777" w:rsidR="009C15BC" w:rsidRPr="00D94268" w:rsidRDefault="009C15BC" w:rsidP="00D94268">
      <w:pPr>
        <w:pStyle w:val="Default"/>
        <w:spacing w:line="276" w:lineRule="auto"/>
        <w:rPr>
          <w:rFonts w:ascii="Garamond" w:hAnsi="Garamond" w:cstheme="minorHAnsi"/>
          <w:sz w:val="22"/>
          <w:szCs w:val="22"/>
        </w:rPr>
      </w:pPr>
    </w:p>
    <w:p w14:paraId="01D893D5" w14:textId="6146F365" w:rsidR="00410316" w:rsidRPr="00D94268" w:rsidRDefault="00410316" w:rsidP="000F7846">
      <w:pPr>
        <w:spacing w:line="276" w:lineRule="auto"/>
        <w:rPr>
          <w:rFonts w:ascii="Garamond" w:hAnsi="Garamond" w:cstheme="minorHAnsi"/>
          <w:sz w:val="22"/>
          <w:szCs w:val="22"/>
        </w:rPr>
      </w:pPr>
      <w:r w:rsidRPr="00D94268">
        <w:rPr>
          <w:rFonts w:ascii="Garamond" w:hAnsi="Garamond" w:cstheme="minorHAnsi"/>
          <w:sz w:val="22"/>
          <w:szCs w:val="22"/>
        </w:rPr>
        <w:t xml:space="preserve">For the hospital outpatient, physician group, and other provider </w:t>
      </w:r>
      <w:r w:rsidR="001E2C0C" w:rsidRPr="00D94268">
        <w:rPr>
          <w:rFonts w:ascii="Garamond" w:hAnsi="Garamond" w:cstheme="minorHAnsi"/>
          <w:sz w:val="22"/>
          <w:szCs w:val="22"/>
        </w:rPr>
        <w:t xml:space="preserve">file </w:t>
      </w:r>
      <w:r w:rsidR="009B37F3" w:rsidRPr="00D94268">
        <w:rPr>
          <w:rFonts w:ascii="Garamond" w:hAnsi="Garamond" w:cstheme="minorHAnsi"/>
          <w:sz w:val="22"/>
          <w:szCs w:val="22"/>
        </w:rPr>
        <w:t>types</w:t>
      </w:r>
      <w:r w:rsidRPr="00D94268">
        <w:rPr>
          <w:rFonts w:ascii="Garamond" w:hAnsi="Garamond" w:cstheme="minorHAnsi"/>
          <w:sz w:val="22"/>
          <w:szCs w:val="22"/>
        </w:rPr>
        <w:t>, paye</w:t>
      </w:r>
      <w:r w:rsidR="00591B98" w:rsidRPr="00D94268">
        <w:rPr>
          <w:rFonts w:ascii="Garamond" w:hAnsi="Garamond" w:cstheme="minorHAnsi"/>
          <w:sz w:val="22"/>
          <w:szCs w:val="22"/>
        </w:rPr>
        <w:t>rs must submit</w:t>
      </w:r>
      <w:r w:rsidRPr="00D94268">
        <w:rPr>
          <w:rFonts w:ascii="Garamond" w:hAnsi="Garamond" w:cstheme="minorHAnsi"/>
          <w:sz w:val="22"/>
          <w:szCs w:val="22"/>
        </w:rPr>
        <w:t xml:space="preserve"> provider-specific service multipliers (service </w:t>
      </w:r>
      <w:r w:rsidR="002E2729">
        <w:rPr>
          <w:rFonts w:ascii="Garamond" w:hAnsi="Garamond" w:cstheme="minorHAnsi"/>
          <w:sz w:val="22"/>
          <w:szCs w:val="22"/>
        </w:rPr>
        <w:t xml:space="preserve">data element </w:t>
      </w:r>
      <w:r w:rsidR="00094821">
        <w:rPr>
          <w:rFonts w:ascii="Garamond" w:hAnsi="Garamond" w:cstheme="minorHAnsi"/>
          <w:sz w:val="22"/>
          <w:szCs w:val="22"/>
        </w:rPr>
        <w:t xml:space="preserve">names and definitions </w:t>
      </w:r>
      <w:r w:rsidRPr="00D94268">
        <w:rPr>
          <w:rFonts w:ascii="Garamond" w:hAnsi="Garamond" w:cstheme="minorHAnsi"/>
          <w:sz w:val="22"/>
          <w:szCs w:val="22"/>
        </w:rPr>
        <w:t xml:space="preserve">to be determined by the </w:t>
      </w:r>
      <w:r w:rsidR="009338C4" w:rsidRPr="00D94268">
        <w:rPr>
          <w:rFonts w:ascii="Garamond" w:hAnsi="Garamond" w:cstheme="minorHAnsi"/>
          <w:sz w:val="22"/>
          <w:szCs w:val="22"/>
        </w:rPr>
        <w:t>p</w:t>
      </w:r>
      <w:r w:rsidRPr="00D94268">
        <w:rPr>
          <w:rFonts w:ascii="Garamond" w:hAnsi="Garamond" w:cstheme="minorHAnsi"/>
          <w:sz w:val="22"/>
          <w:szCs w:val="22"/>
        </w:rPr>
        <w:t xml:space="preserve">ayer), </w:t>
      </w:r>
      <w:r w:rsidR="00D06B86" w:rsidRPr="00D94268">
        <w:rPr>
          <w:rFonts w:ascii="Garamond" w:hAnsi="Garamond" w:cstheme="minorHAnsi"/>
          <w:sz w:val="22"/>
          <w:szCs w:val="22"/>
        </w:rPr>
        <w:t xml:space="preserve">total claims-based payments, </w:t>
      </w:r>
      <w:r w:rsidRPr="00D94268">
        <w:rPr>
          <w:rFonts w:ascii="Garamond" w:hAnsi="Garamond" w:cstheme="minorHAnsi"/>
          <w:sz w:val="22"/>
          <w:szCs w:val="22"/>
        </w:rPr>
        <w:t xml:space="preserve">total non-claims payments, </w:t>
      </w:r>
      <w:r w:rsidR="004B120D">
        <w:rPr>
          <w:rFonts w:ascii="Garamond" w:hAnsi="Garamond" w:cstheme="minorHAnsi"/>
          <w:sz w:val="22"/>
          <w:szCs w:val="22"/>
        </w:rPr>
        <w:t xml:space="preserve">and </w:t>
      </w:r>
      <w:r w:rsidRPr="00D94268">
        <w:rPr>
          <w:rFonts w:ascii="Garamond" w:hAnsi="Garamond" w:cstheme="minorHAnsi"/>
          <w:sz w:val="22"/>
          <w:szCs w:val="22"/>
        </w:rPr>
        <w:t xml:space="preserve">provider-specific service </w:t>
      </w:r>
      <w:r w:rsidR="00D232AA">
        <w:rPr>
          <w:rFonts w:ascii="Garamond" w:hAnsi="Garamond" w:cstheme="minorHAnsi"/>
          <w:sz w:val="22"/>
          <w:szCs w:val="22"/>
        </w:rPr>
        <w:t>payments</w:t>
      </w:r>
      <w:r w:rsidRPr="00D94268">
        <w:rPr>
          <w:rFonts w:ascii="Garamond" w:hAnsi="Garamond" w:cstheme="minorHAnsi"/>
          <w:sz w:val="22"/>
          <w:szCs w:val="22"/>
        </w:rPr>
        <w:t xml:space="preserve">. </w:t>
      </w:r>
      <w:r w:rsidR="001E2C0C" w:rsidRPr="00D94268">
        <w:rPr>
          <w:rFonts w:ascii="Garamond" w:hAnsi="Garamond" w:cstheme="minorHAnsi"/>
          <w:sz w:val="22"/>
          <w:szCs w:val="22"/>
        </w:rPr>
        <w:t xml:space="preserve">HOS outpatient data will be </w:t>
      </w:r>
      <w:r w:rsidR="003E0E93" w:rsidRPr="005F7408">
        <w:rPr>
          <w:rFonts w:ascii="Garamond" w:hAnsi="Garamond" w:cstheme="minorHAnsi"/>
          <w:sz w:val="22"/>
          <w:szCs w:val="22"/>
        </w:rPr>
        <w:t xml:space="preserve">reported in </w:t>
      </w:r>
      <w:r w:rsidR="003E0E93">
        <w:rPr>
          <w:rFonts w:ascii="Garamond" w:hAnsi="Garamond" w:cstheme="minorHAnsi"/>
          <w:sz w:val="22"/>
          <w:szCs w:val="22"/>
        </w:rPr>
        <w:t>the Hos Outpatient Data tab of the Hospital RP Template</w:t>
      </w:r>
      <w:r w:rsidR="001E2C0C" w:rsidRPr="00D94268">
        <w:rPr>
          <w:rFonts w:ascii="Garamond" w:hAnsi="Garamond" w:cstheme="minorHAnsi"/>
          <w:sz w:val="22"/>
          <w:szCs w:val="22"/>
        </w:rPr>
        <w:t>, PG</w:t>
      </w:r>
      <w:r w:rsidR="003E0E93">
        <w:rPr>
          <w:rFonts w:ascii="Garamond" w:hAnsi="Garamond" w:cstheme="minorHAnsi"/>
          <w:sz w:val="22"/>
          <w:szCs w:val="22"/>
        </w:rPr>
        <w:t xml:space="preserve"> data will be reported in the Physician Group Data tab of the Physician Group RP Template</w:t>
      </w:r>
      <w:r w:rsidR="00094821">
        <w:rPr>
          <w:rFonts w:ascii="Garamond" w:hAnsi="Garamond" w:cstheme="minorHAnsi"/>
          <w:sz w:val="22"/>
          <w:szCs w:val="22"/>
        </w:rPr>
        <w:t>,</w:t>
      </w:r>
      <w:r w:rsidR="001E2C0C" w:rsidRPr="00D94268">
        <w:rPr>
          <w:rFonts w:ascii="Garamond" w:hAnsi="Garamond" w:cstheme="minorHAnsi"/>
          <w:sz w:val="22"/>
          <w:szCs w:val="22"/>
        </w:rPr>
        <w:t xml:space="preserve"> and OP </w:t>
      </w:r>
      <w:r w:rsidR="003E0E93">
        <w:rPr>
          <w:rFonts w:ascii="Garamond" w:hAnsi="Garamond" w:cstheme="minorHAnsi"/>
          <w:sz w:val="22"/>
          <w:szCs w:val="22"/>
        </w:rPr>
        <w:t>data will be submitted in the Other Provider Data tab of the Other Provider RP Template.</w:t>
      </w:r>
    </w:p>
    <w:p w14:paraId="6CAC11C4" w14:textId="77777777" w:rsidR="006837B8" w:rsidRPr="00D94268" w:rsidRDefault="006837B8" w:rsidP="00D94268">
      <w:pPr>
        <w:pStyle w:val="Default"/>
        <w:spacing w:line="276" w:lineRule="auto"/>
        <w:ind w:left="360"/>
        <w:rPr>
          <w:rFonts w:ascii="Garamond" w:hAnsi="Garamond" w:cstheme="minorHAnsi"/>
          <w:sz w:val="22"/>
          <w:szCs w:val="22"/>
        </w:rPr>
      </w:pPr>
    </w:p>
    <w:p w14:paraId="20327FAC" w14:textId="7A029853" w:rsidR="004C2F2E" w:rsidRPr="00D94268" w:rsidRDefault="004C2F2E" w:rsidP="00D94268">
      <w:pPr>
        <w:spacing w:line="276" w:lineRule="auto"/>
        <w:rPr>
          <w:rFonts w:ascii="Garamond" w:hAnsi="Garamond" w:cstheme="minorHAnsi"/>
          <w:spacing w:val="-3"/>
          <w:sz w:val="22"/>
          <w:szCs w:val="22"/>
        </w:rPr>
      </w:pPr>
      <w:r w:rsidRPr="00D94268">
        <w:rPr>
          <w:rFonts w:ascii="Garamond" w:hAnsi="Garamond" w:cstheme="minorHAnsi"/>
          <w:b/>
          <w:i/>
          <w:spacing w:val="-3"/>
          <w:sz w:val="22"/>
          <w:szCs w:val="22"/>
        </w:rPr>
        <w:t xml:space="preserve">Provider-Specific Service Multipliers. </w:t>
      </w:r>
      <w:r w:rsidRPr="00D94268">
        <w:rPr>
          <w:rFonts w:ascii="Garamond" w:hAnsi="Garamond" w:cstheme="minorHAnsi"/>
          <w:spacing w:val="-3"/>
          <w:sz w:val="22"/>
          <w:szCs w:val="22"/>
        </w:rPr>
        <w:t xml:space="preserve">Provider-specific service multipliers are the negotiated service-specific mark-up from the standard fee schedule, reported for each provider, by insurance category and product type. The service multipliers must be defined for each service type </w:t>
      </w:r>
      <w:r w:rsidR="003E0E93">
        <w:rPr>
          <w:rFonts w:ascii="Garamond" w:hAnsi="Garamond" w:cstheme="minorHAnsi"/>
          <w:spacing w:val="-3"/>
          <w:sz w:val="22"/>
          <w:szCs w:val="22"/>
        </w:rPr>
        <w:t>for which payers reimburse providers for</w:t>
      </w:r>
      <w:r w:rsidRPr="00D94268">
        <w:rPr>
          <w:rFonts w:ascii="Garamond" w:hAnsi="Garamond" w:cstheme="minorHAnsi"/>
          <w:spacing w:val="-3"/>
          <w:sz w:val="22"/>
          <w:szCs w:val="22"/>
        </w:rPr>
        <w:t>. Payers must provide negotiated multipliers directly from the contract wherever feasible.  In this case</w:t>
      </w:r>
      <w:r w:rsidR="00114DBB" w:rsidRPr="00D94268">
        <w:rPr>
          <w:rFonts w:ascii="Garamond" w:hAnsi="Garamond" w:cstheme="minorHAnsi"/>
          <w:spacing w:val="-3"/>
          <w:sz w:val="22"/>
          <w:szCs w:val="22"/>
        </w:rPr>
        <w:t>,</w:t>
      </w:r>
      <w:r w:rsidRPr="00D94268">
        <w:rPr>
          <w:rFonts w:ascii="Garamond" w:hAnsi="Garamond" w:cstheme="minorHAnsi"/>
          <w:spacing w:val="-3"/>
          <w:sz w:val="22"/>
          <w:szCs w:val="22"/>
        </w:rPr>
        <w:t xml:space="preserve"> the “MultiplierIndicator”</w:t>
      </w:r>
      <w:r w:rsidR="00D94268">
        <w:rPr>
          <w:rFonts w:ascii="Garamond" w:hAnsi="Garamond" w:cstheme="minorHAnsi"/>
          <w:spacing w:val="-3"/>
          <w:sz w:val="22"/>
          <w:szCs w:val="22"/>
        </w:rPr>
        <w:t xml:space="preserve"> </w:t>
      </w:r>
      <w:r w:rsidRPr="00D94268">
        <w:rPr>
          <w:rFonts w:ascii="Garamond" w:hAnsi="Garamond" w:cstheme="minorHAnsi"/>
          <w:spacing w:val="-3"/>
          <w:sz w:val="22"/>
          <w:szCs w:val="22"/>
        </w:rPr>
        <w:t>field would be designated as 1 = Negotiated base rate or multiplier (not calculated).</w:t>
      </w:r>
    </w:p>
    <w:p w14:paraId="4C58B071" w14:textId="77777777" w:rsidR="004C2F2E" w:rsidRPr="00D94268" w:rsidRDefault="004C2F2E" w:rsidP="00D94268">
      <w:pPr>
        <w:spacing w:line="276" w:lineRule="auto"/>
        <w:rPr>
          <w:rFonts w:ascii="Garamond" w:hAnsi="Garamond" w:cstheme="minorHAnsi"/>
          <w:spacing w:val="-3"/>
          <w:sz w:val="22"/>
          <w:szCs w:val="22"/>
        </w:rPr>
      </w:pPr>
    </w:p>
    <w:p w14:paraId="0175B96B" w14:textId="310ED051" w:rsidR="007B75FC" w:rsidRDefault="004C2F2E" w:rsidP="00D94268">
      <w:pPr>
        <w:spacing w:line="276" w:lineRule="auto"/>
        <w:rPr>
          <w:rFonts w:ascii="Garamond" w:hAnsi="Garamond" w:cstheme="minorHAnsi"/>
          <w:spacing w:val="-3"/>
          <w:sz w:val="22"/>
          <w:szCs w:val="22"/>
        </w:rPr>
      </w:pPr>
      <w:r w:rsidRPr="00D94268">
        <w:rPr>
          <w:rFonts w:ascii="Garamond" w:hAnsi="Garamond" w:cstheme="minorHAnsi"/>
          <w:spacing w:val="-3"/>
          <w:sz w:val="22"/>
          <w:szCs w:val="22"/>
        </w:rPr>
        <w:t xml:space="preserve">If it is not possible to provide negotiated multipliers directly from the </w:t>
      </w:r>
      <w:r w:rsidR="00094821" w:rsidRPr="00D94268">
        <w:rPr>
          <w:rFonts w:ascii="Garamond" w:hAnsi="Garamond" w:cstheme="minorHAnsi"/>
          <w:spacing w:val="-3"/>
          <w:sz w:val="22"/>
          <w:szCs w:val="22"/>
        </w:rPr>
        <w:t>contract,</w:t>
      </w:r>
      <w:r w:rsidRPr="00D94268">
        <w:rPr>
          <w:rFonts w:ascii="Garamond" w:hAnsi="Garamond" w:cstheme="minorHAnsi"/>
          <w:spacing w:val="-3"/>
          <w:sz w:val="22"/>
          <w:szCs w:val="22"/>
        </w:rPr>
        <w:t xml:space="preserve"> then an alternative approach is the indirect standardization method shown below</w:t>
      </w:r>
      <w:r w:rsidR="00512B79">
        <w:rPr>
          <w:rFonts w:ascii="Garamond" w:hAnsi="Garamond" w:cstheme="minorHAnsi"/>
          <w:spacing w:val="-3"/>
          <w:sz w:val="22"/>
          <w:szCs w:val="22"/>
        </w:rPr>
        <w:t xml:space="preserve">. </w:t>
      </w:r>
      <w:r w:rsidR="007B75FC">
        <w:rPr>
          <w:rFonts w:ascii="Garamond" w:hAnsi="Garamond" w:cstheme="minorHAnsi"/>
          <w:spacing w:val="-3"/>
          <w:sz w:val="22"/>
          <w:szCs w:val="22"/>
        </w:rPr>
        <w:t>In this case, the</w:t>
      </w:r>
      <w:r w:rsidR="007B75FC" w:rsidRPr="007B75FC">
        <w:rPr>
          <w:rFonts w:ascii="Garamond" w:hAnsi="Garamond" w:cstheme="minorHAnsi"/>
          <w:spacing w:val="-3"/>
          <w:sz w:val="22"/>
          <w:szCs w:val="22"/>
        </w:rPr>
        <w:t xml:space="preserve"> “MultiplierIndicator” would be designated as 2 = Calculated payment-derived base rate or multiplier.</w:t>
      </w:r>
    </w:p>
    <w:p w14:paraId="1C56F399" w14:textId="77777777" w:rsidR="007B75FC" w:rsidRDefault="007B75FC" w:rsidP="00D94268">
      <w:pPr>
        <w:spacing w:line="276" w:lineRule="auto"/>
        <w:rPr>
          <w:rFonts w:ascii="Garamond" w:hAnsi="Garamond" w:cstheme="minorHAnsi"/>
          <w:spacing w:val="-3"/>
          <w:sz w:val="22"/>
          <w:szCs w:val="22"/>
        </w:rPr>
      </w:pPr>
    </w:p>
    <w:p w14:paraId="4ECBF120" w14:textId="0F96D965" w:rsidR="00AE1831" w:rsidRPr="00D94268" w:rsidRDefault="004C2F2E" w:rsidP="00D94268">
      <w:pPr>
        <w:spacing w:line="276" w:lineRule="auto"/>
        <w:rPr>
          <w:rFonts w:ascii="Garamond" w:hAnsi="Garamond" w:cstheme="minorHAnsi"/>
          <w:spacing w:val="-3"/>
          <w:sz w:val="22"/>
          <w:szCs w:val="22"/>
        </w:rPr>
      </w:pPr>
      <w:r w:rsidRPr="00D94268">
        <w:rPr>
          <w:rFonts w:ascii="Garamond" w:hAnsi="Garamond" w:cstheme="minorHAnsi"/>
          <w:spacing w:val="-3"/>
          <w:sz w:val="22"/>
          <w:szCs w:val="22"/>
        </w:rPr>
        <w:t xml:space="preserve"> This method relies on claims-based payments and number of units </w:t>
      </w:r>
      <w:r w:rsidR="00114DBB" w:rsidRPr="00D94268">
        <w:rPr>
          <w:rFonts w:ascii="Garamond" w:hAnsi="Garamond" w:cstheme="minorHAnsi"/>
          <w:spacing w:val="-3"/>
          <w:sz w:val="22"/>
          <w:szCs w:val="22"/>
        </w:rPr>
        <w:t xml:space="preserve">for </w:t>
      </w:r>
      <w:r w:rsidRPr="00D94268">
        <w:rPr>
          <w:rFonts w:ascii="Garamond" w:hAnsi="Garamond" w:cstheme="minorHAnsi"/>
          <w:spacing w:val="-3"/>
          <w:sz w:val="22"/>
          <w:szCs w:val="22"/>
        </w:rPr>
        <w:t>the services being analyzed.  For example, for lab/radiology and emergency department</w:t>
      </w:r>
      <w:r w:rsidR="00114DBB" w:rsidRPr="00D94268">
        <w:rPr>
          <w:rFonts w:ascii="Garamond" w:hAnsi="Garamond" w:cstheme="minorHAnsi"/>
          <w:spacing w:val="-3"/>
          <w:sz w:val="22"/>
          <w:szCs w:val="22"/>
        </w:rPr>
        <w:t xml:space="preserve"> services,</w:t>
      </w:r>
      <w:r w:rsidRPr="00D94268">
        <w:rPr>
          <w:rFonts w:ascii="Garamond" w:hAnsi="Garamond" w:cstheme="minorHAnsi"/>
          <w:spacing w:val="-3"/>
          <w:sz w:val="22"/>
          <w:szCs w:val="22"/>
        </w:rPr>
        <w:t xml:space="preserve"> the data could be grouped by CPT code. For ambulatory surgery services, when reimbursement is negotiated by ambulatory surgery categories using case rates, the data could be grouped by these case rate categories.  The resulting multiplier is based on comparing a provider’s “actual” </w:t>
      </w:r>
      <w:r w:rsidR="00EB4E33" w:rsidRPr="00D94268">
        <w:rPr>
          <w:rFonts w:ascii="Garamond" w:hAnsi="Garamond" w:cstheme="minorHAnsi"/>
          <w:spacing w:val="-3"/>
          <w:sz w:val="22"/>
          <w:szCs w:val="22"/>
        </w:rPr>
        <w:t xml:space="preserve">average </w:t>
      </w:r>
      <w:r w:rsidRPr="00D94268">
        <w:rPr>
          <w:rFonts w:ascii="Garamond" w:hAnsi="Garamond" w:cstheme="minorHAnsi"/>
          <w:spacing w:val="-3"/>
          <w:sz w:val="22"/>
          <w:szCs w:val="22"/>
        </w:rPr>
        <w:t xml:space="preserve">price to its “expected” </w:t>
      </w:r>
      <w:r w:rsidR="00EB4E33" w:rsidRPr="00D94268">
        <w:rPr>
          <w:rFonts w:ascii="Garamond" w:hAnsi="Garamond" w:cstheme="minorHAnsi"/>
          <w:spacing w:val="-3"/>
          <w:sz w:val="22"/>
          <w:szCs w:val="22"/>
        </w:rPr>
        <w:t xml:space="preserve">average </w:t>
      </w:r>
      <w:r w:rsidRPr="00D94268">
        <w:rPr>
          <w:rFonts w:ascii="Garamond" w:hAnsi="Garamond" w:cstheme="minorHAnsi"/>
          <w:spacing w:val="-3"/>
          <w:sz w:val="22"/>
          <w:szCs w:val="22"/>
        </w:rPr>
        <w:t xml:space="preserve">price. </w:t>
      </w:r>
      <w:r w:rsidR="00EB4E33" w:rsidRPr="00D94268">
        <w:rPr>
          <w:rFonts w:ascii="Garamond" w:hAnsi="Garamond" w:cstheme="minorHAnsi"/>
          <w:spacing w:val="-3"/>
          <w:sz w:val="22"/>
          <w:szCs w:val="22"/>
        </w:rPr>
        <w:t>The expected average price is calculated using the network average prices for each case rate or CPT code.</w:t>
      </w:r>
      <w:r w:rsidRPr="00D94268">
        <w:rPr>
          <w:rFonts w:ascii="Garamond" w:hAnsi="Garamond" w:cstheme="minorHAnsi"/>
          <w:spacing w:val="-3"/>
          <w:sz w:val="22"/>
          <w:szCs w:val="22"/>
        </w:rPr>
        <w:t xml:space="preserve">   The example show</w:t>
      </w:r>
      <w:r w:rsidR="00D94268">
        <w:rPr>
          <w:rFonts w:ascii="Garamond" w:hAnsi="Garamond" w:cstheme="minorHAnsi"/>
          <w:spacing w:val="-3"/>
          <w:sz w:val="22"/>
          <w:szCs w:val="22"/>
        </w:rPr>
        <w:t>n</w:t>
      </w:r>
      <w:r w:rsidRPr="00D94268">
        <w:rPr>
          <w:rFonts w:ascii="Garamond" w:hAnsi="Garamond" w:cstheme="minorHAnsi"/>
          <w:spacing w:val="-3"/>
          <w:sz w:val="22"/>
          <w:szCs w:val="22"/>
        </w:rPr>
        <w:t xml:space="preserve"> below is a hypothetical calculation of multipliers for lab services.  In this example, there are only two providers in the network and two CPT codes that make up lab services, CPT X and CPT Y.  </w:t>
      </w:r>
    </w:p>
    <w:p w14:paraId="00EE34FA" w14:textId="77777777" w:rsidR="004C2F2E" w:rsidRPr="00D94268" w:rsidRDefault="004C2F2E" w:rsidP="00D94268">
      <w:pPr>
        <w:spacing w:line="276" w:lineRule="auto"/>
        <w:rPr>
          <w:rFonts w:ascii="Garamond" w:hAnsi="Garamond" w:cstheme="minorHAnsi"/>
          <w:sz w:val="22"/>
          <w:szCs w:val="22"/>
        </w:rPr>
      </w:pPr>
    </w:p>
    <w:p w14:paraId="4D731C9B" w14:textId="77777777" w:rsidR="004C2F2E" w:rsidRPr="00D94268" w:rsidRDefault="004C2F2E" w:rsidP="00161691">
      <w:pPr>
        <w:spacing w:line="276" w:lineRule="auto"/>
        <w:rPr>
          <w:rFonts w:ascii="Garamond" w:hAnsi="Garamond" w:cstheme="minorHAnsi"/>
          <w:sz w:val="22"/>
          <w:szCs w:val="22"/>
        </w:rPr>
      </w:pPr>
      <w:r w:rsidRPr="00D94268">
        <w:rPr>
          <w:rFonts w:ascii="Garamond" w:hAnsi="Garamond" w:cstheme="minorHAnsi"/>
          <w:noProof/>
          <w:sz w:val="22"/>
          <w:szCs w:val="22"/>
        </w:rPr>
        <w:lastRenderedPageBreak/>
        <w:drawing>
          <wp:inline distT="0" distB="0" distL="0" distR="0" wp14:anchorId="03541262" wp14:editId="4B51E536">
            <wp:extent cx="6659880"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9880" cy="1417320"/>
                    </a:xfrm>
                    <a:prstGeom prst="rect">
                      <a:avLst/>
                    </a:prstGeom>
                    <a:noFill/>
                  </pic:spPr>
                </pic:pic>
              </a:graphicData>
            </a:graphic>
          </wp:inline>
        </w:drawing>
      </w:r>
    </w:p>
    <w:p w14:paraId="541D5295" w14:textId="77777777" w:rsidR="00AE1831" w:rsidRPr="00D94268" w:rsidRDefault="00AE1831" w:rsidP="00D94268">
      <w:pPr>
        <w:spacing w:line="276" w:lineRule="auto"/>
        <w:ind w:left="360"/>
        <w:rPr>
          <w:rFonts w:ascii="Garamond" w:hAnsi="Garamond" w:cstheme="minorHAnsi"/>
          <w:sz w:val="22"/>
          <w:szCs w:val="22"/>
        </w:rPr>
      </w:pPr>
    </w:p>
    <w:p w14:paraId="03F5EF21"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Columns (1) &amp; (2)</w:t>
      </w:r>
      <w:r w:rsidRPr="00D94268">
        <w:rPr>
          <w:rFonts w:ascii="Garamond" w:hAnsi="Garamond" w:cstheme="minorHAnsi"/>
          <w:sz w:val="22"/>
          <w:szCs w:val="22"/>
        </w:rPr>
        <w:t xml:space="preserve">:  These represent total allowed claims paid out for CPT X and CPT Y for Provider A &amp; B in a given year. </w:t>
      </w:r>
    </w:p>
    <w:p w14:paraId="0CE38608" w14:textId="77777777" w:rsidR="004C2F2E" w:rsidRPr="00D94268" w:rsidRDefault="004C2F2E" w:rsidP="00D94268">
      <w:pPr>
        <w:pStyle w:val="ListParagraph"/>
        <w:spacing w:line="276" w:lineRule="auto"/>
        <w:rPr>
          <w:rFonts w:ascii="Garamond" w:hAnsi="Garamond" w:cstheme="minorHAnsi"/>
          <w:sz w:val="22"/>
          <w:szCs w:val="22"/>
        </w:rPr>
      </w:pPr>
    </w:p>
    <w:p w14:paraId="0F99877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Columns (3) &amp; (4):</w:t>
      </w:r>
      <w:r w:rsidRPr="00D94268">
        <w:rPr>
          <w:rFonts w:ascii="Garamond" w:hAnsi="Garamond" w:cstheme="minorHAnsi"/>
          <w:sz w:val="22"/>
          <w:szCs w:val="22"/>
        </w:rPr>
        <w:t xml:space="preserve">  These represent total units for CPT X and CPT Y for Provider A &amp; B for the same year as the reported allowed claims.</w:t>
      </w:r>
    </w:p>
    <w:p w14:paraId="0FEFDB85" w14:textId="77777777" w:rsidR="004C2F2E" w:rsidRPr="00D94268" w:rsidRDefault="004C2F2E" w:rsidP="00D94268">
      <w:pPr>
        <w:pStyle w:val="ListParagraph"/>
        <w:spacing w:line="276" w:lineRule="auto"/>
        <w:rPr>
          <w:rFonts w:ascii="Garamond" w:hAnsi="Garamond" w:cstheme="minorHAnsi"/>
          <w:sz w:val="22"/>
          <w:szCs w:val="22"/>
        </w:rPr>
      </w:pPr>
    </w:p>
    <w:p w14:paraId="7FC5429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(5) &amp; (6):</w:t>
      </w:r>
      <w:r w:rsidRPr="00D94268">
        <w:rPr>
          <w:rFonts w:ascii="Garamond" w:hAnsi="Garamond" w:cstheme="minorHAnsi"/>
          <w:sz w:val="22"/>
          <w:szCs w:val="22"/>
        </w:rPr>
        <w:t xml:space="preserve">  These represent an imputed price for CPT X and CPT Y by provider and for the network.</w:t>
      </w:r>
    </w:p>
    <w:p w14:paraId="4D99CEA3" w14:textId="77777777" w:rsidR="004C2F2E" w:rsidRPr="00D94268" w:rsidRDefault="004C2F2E" w:rsidP="00D94268">
      <w:pPr>
        <w:pStyle w:val="ListParagraph"/>
        <w:spacing w:line="276" w:lineRule="auto"/>
        <w:rPr>
          <w:rFonts w:ascii="Garamond" w:hAnsi="Garamond" w:cstheme="minorHAnsi"/>
          <w:sz w:val="22"/>
          <w:szCs w:val="22"/>
        </w:rPr>
      </w:pPr>
    </w:p>
    <w:p w14:paraId="20992D3E"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(7):</w:t>
      </w:r>
      <w:r w:rsidRPr="00D94268">
        <w:rPr>
          <w:rFonts w:ascii="Garamond" w:hAnsi="Garamond" w:cstheme="minorHAnsi"/>
          <w:sz w:val="22"/>
          <w:szCs w:val="22"/>
        </w:rPr>
        <w:t xml:space="preserve">  This is the actual price across both CPT codes.  The formula for Provider A is: ($250+$300)/ (3+3) = $91.67.  The formula for Provider B across both CPT codes is: ($700 + $700)/ (10+9) = $73.68</w:t>
      </w:r>
    </w:p>
    <w:p w14:paraId="2F6957D3" w14:textId="77777777" w:rsidR="004C2F2E" w:rsidRPr="00D94268" w:rsidRDefault="004C2F2E" w:rsidP="00D94268">
      <w:pPr>
        <w:pStyle w:val="ListParagraph"/>
        <w:spacing w:line="276" w:lineRule="auto"/>
        <w:rPr>
          <w:rFonts w:ascii="Garamond" w:hAnsi="Garamond" w:cstheme="minorHAnsi"/>
          <w:sz w:val="22"/>
          <w:szCs w:val="22"/>
        </w:rPr>
      </w:pPr>
    </w:p>
    <w:p w14:paraId="775B0B3F"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(8):</w:t>
      </w:r>
      <w:r w:rsidRPr="00D94268">
        <w:rPr>
          <w:rFonts w:ascii="Garamond" w:hAnsi="Garamond" w:cstheme="minorHAnsi"/>
          <w:sz w:val="22"/>
          <w:szCs w:val="22"/>
        </w:rPr>
        <w:t xml:space="preserve"> This is the expected price for each provider using the network average prices.  The formula for Provider A is {(3*73.08+(3*83.33)}/ (3+3) = 78.21.  The formula for Provider B is {(10*73.08) +</w:t>
      </w:r>
      <w:r w:rsidR="00D94268">
        <w:rPr>
          <w:rFonts w:ascii="Garamond" w:hAnsi="Garamond" w:cstheme="minorHAnsi"/>
          <w:sz w:val="22"/>
          <w:szCs w:val="22"/>
        </w:rPr>
        <w:t xml:space="preserve"> </w:t>
      </w:r>
      <w:r w:rsidRPr="00D94268">
        <w:rPr>
          <w:rFonts w:ascii="Garamond" w:hAnsi="Garamond" w:cstheme="minorHAnsi"/>
          <w:sz w:val="22"/>
          <w:szCs w:val="22"/>
        </w:rPr>
        <w:t>(9*83.33)}/ (10+9</w:t>
      </w:r>
      <w:r w:rsidR="00D94268">
        <w:rPr>
          <w:rFonts w:ascii="Garamond" w:hAnsi="Garamond" w:cstheme="minorHAnsi"/>
          <w:sz w:val="22"/>
          <w:szCs w:val="22"/>
        </w:rPr>
        <w:t>) = $77.94</w:t>
      </w:r>
    </w:p>
    <w:p w14:paraId="7ACB68AB" w14:textId="77777777" w:rsidR="004C2F2E" w:rsidRPr="00D94268" w:rsidRDefault="004C2F2E" w:rsidP="00D94268">
      <w:pPr>
        <w:pStyle w:val="ListParagraph"/>
        <w:spacing w:line="276" w:lineRule="auto"/>
        <w:rPr>
          <w:rFonts w:ascii="Garamond" w:hAnsi="Garamond" w:cstheme="minorHAnsi"/>
          <w:sz w:val="22"/>
          <w:szCs w:val="22"/>
        </w:rPr>
      </w:pPr>
    </w:p>
    <w:p w14:paraId="687B60D4" w14:textId="77777777" w:rsidR="004C2F2E" w:rsidRPr="00D94268" w:rsidRDefault="004C2F2E" w:rsidP="00D94268">
      <w:pPr>
        <w:pStyle w:val="ListParagraph"/>
        <w:spacing w:line="276" w:lineRule="auto"/>
        <w:rPr>
          <w:rFonts w:ascii="Garamond" w:hAnsi="Garamond" w:cstheme="minorHAnsi"/>
          <w:sz w:val="22"/>
          <w:szCs w:val="22"/>
        </w:rPr>
      </w:pPr>
      <w:r w:rsidRPr="00D94268">
        <w:rPr>
          <w:rFonts w:ascii="Garamond" w:hAnsi="Garamond" w:cstheme="minorHAnsi"/>
          <w:b/>
          <w:sz w:val="22"/>
          <w:szCs w:val="22"/>
        </w:rPr>
        <w:t>Column (9):</w:t>
      </w:r>
      <w:r w:rsidRPr="00D94268">
        <w:rPr>
          <w:rFonts w:ascii="Garamond" w:hAnsi="Garamond" w:cstheme="minorHAnsi"/>
          <w:sz w:val="22"/>
          <w:szCs w:val="22"/>
        </w:rPr>
        <w:t xml:space="preserve"> This is the imputed multiplier and takes the ratio of Actual Price to Expected Price.</w:t>
      </w:r>
    </w:p>
    <w:p w14:paraId="603E96D4" w14:textId="77777777" w:rsidR="0093737C" w:rsidRPr="003302FC" w:rsidRDefault="0093737C" w:rsidP="00D94268">
      <w:pPr>
        <w:pStyle w:val="ListParagraph"/>
        <w:spacing w:line="276" w:lineRule="auto"/>
        <w:rPr>
          <w:rFonts w:ascii="Garamond" w:hAnsi="Garamond" w:cstheme="minorHAnsi"/>
          <w:sz w:val="22"/>
          <w:szCs w:val="22"/>
        </w:rPr>
      </w:pPr>
    </w:p>
    <w:p w14:paraId="50BC6236" w14:textId="55FEF5CC" w:rsidR="003672DE" w:rsidRDefault="0093737C" w:rsidP="00D94268">
      <w:pPr>
        <w:pStyle w:val="Default"/>
        <w:spacing w:line="276" w:lineRule="auto"/>
        <w:rPr>
          <w:rFonts w:ascii="Garamond" w:hAnsi="Garamond" w:cstheme="minorHAnsi"/>
          <w:spacing w:val="-3"/>
          <w:sz w:val="22"/>
          <w:szCs w:val="22"/>
        </w:rPr>
      </w:pPr>
      <w:r w:rsidRPr="00D94268">
        <w:rPr>
          <w:rFonts w:ascii="Garamond" w:hAnsi="Garamond" w:cstheme="minorHAnsi"/>
          <w:sz w:val="22"/>
          <w:szCs w:val="22"/>
        </w:rPr>
        <w:t>If it is not possible to provide negotiated multipliers directly from the contracts</w:t>
      </w:r>
      <w:r w:rsidR="007B75FC">
        <w:rPr>
          <w:rFonts w:ascii="Garamond" w:hAnsi="Garamond" w:cstheme="minorHAnsi"/>
          <w:sz w:val="22"/>
          <w:szCs w:val="22"/>
        </w:rPr>
        <w:t>,</w:t>
      </w:r>
      <w:r w:rsidRPr="00D94268">
        <w:rPr>
          <w:rFonts w:ascii="Garamond" w:hAnsi="Garamond" w:cstheme="minorHAnsi"/>
          <w:sz w:val="22"/>
          <w:szCs w:val="22"/>
        </w:rPr>
        <w:t xml:space="preserve"> and data are not available to use the indirect standardization method shown above, then it is expected that the carriers use their best judgment and available data to calculate multipliers by provider group and service that reasonably represent the relative difference in price.  </w:t>
      </w:r>
      <w:r w:rsidR="007B75FC">
        <w:rPr>
          <w:rFonts w:ascii="Garamond" w:hAnsi="Garamond" w:cstheme="minorHAnsi"/>
          <w:sz w:val="22"/>
          <w:szCs w:val="22"/>
        </w:rPr>
        <w:t>In this case,</w:t>
      </w:r>
      <w:r w:rsidR="007B75FC" w:rsidRPr="007B75FC">
        <w:rPr>
          <w:rFonts w:ascii="Garamond" w:hAnsi="Garamond" w:cstheme="minorHAnsi"/>
          <w:sz w:val="22"/>
          <w:szCs w:val="22"/>
        </w:rPr>
        <w:t xml:space="preserve"> the “MultiplierIndicator” would be designated as 2 = Calculated payment-derived base rate or multiplier.</w:t>
      </w:r>
    </w:p>
    <w:p w14:paraId="29D8D71A" w14:textId="6757787C" w:rsidR="005F1C24" w:rsidRPr="00AA7237" w:rsidRDefault="005F1C24" w:rsidP="00AA7237">
      <w:pPr>
        <w:spacing w:line="276" w:lineRule="auto"/>
        <w:rPr>
          <w:rFonts w:ascii="Garamond" w:hAnsi="Garamond" w:cstheme="minorHAnsi"/>
          <w:spacing w:val="-3"/>
          <w:sz w:val="22"/>
          <w:szCs w:val="22"/>
        </w:rPr>
      </w:pPr>
    </w:p>
    <w:p w14:paraId="2CB939DB" w14:textId="50E2C50A" w:rsidR="003672DE" w:rsidRDefault="003672DE" w:rsidP="00AA7237">
      <w:pPr>
        <w:spacing w:line="276" w:lineRule="auto"/>
        <w:rPr>
          <w:rFonts w:ascii="Garamond" w:hAnsi="Garamond" w:cstheme="minorHAnsi"/>
          <w:b/>
          <w:sz w:val="22"/>
          <w:szCs w:val="22"/>
        </w:rPr>
      </w:pPr>
      <w:r>
        <w:rPr>
          <w:rFonts w:ascii="Garamond" w:hAnsi="Garamond" w:cstheme="minorHAnsi"/>
          <w:b/>
          <w:sz w:val="22"/>
          <w:szCs w:val="22"/>
        </w:rPr>
        <w:t>c.) Submitting the Template</w:t>
      </w:r>
    </w:p>
    <w:p w14:paraId="3B5B71FD" w14:textId="77777777" w:rsidR="009C20D0" w:rsidRDefault="009C20D0" w:rsidP="00AA7237">
      <w:pPr>
        <w:spacing w:line="276" w:lineRule="auto"/>
        <w:ind w:left="360"/>
        <w:rPr>
          <w:rFonts w:ascii="Garamond" w:hAnsi="Garamond" w:cstheme="minorHAnsi"/>
          <w:sz w:val="22"/>
          <w:szCs w:val="22"/>
        </w:rPr>
      </w:pPr>
    </w:p>
    <w:p w14:paraId="58ED578E" w14:textId="10CB7293" w:rsidR="003672DE" w:rsidRDefault="003672DE" w:rsidP="00AA7237">
      <w:pPr>
        <w:spacing w:line="276" w:lineRule="auto"/>
        <w:ind w:left="360"/>
        <w:rPr>
          <w:rFonts w:ascii="Garamond" w:hAnsi="Garamond" w:cstheme="minorHAnsi"/>
          <w:sz w:val="22"/>
          <w:szCs w:val="22"/>
        </w:rPr>
      </w:pPr>
      <w:r>
        <w:rPr>
          <w:rFonts w:ascii="Garamond" w:hAnsi="Garamond" w:cstheme="minorHAnsi"/>
          <w:sz w:val="22"/>
          <w:szCs w:val="22"/>
        </w:rPr>
        <w:t xml:space="preserve">The Excel-based Relative Price templates include built in data validations. After inputting the data, users are required to run the data checks by clicking the Data Review buttons on the template Front Page tabs. If any errors are identified, </w:t>
      </w:r>
      <w:r w:rsidR="009C20D0">
        <w:rPr>
          <w:rFonts w:ascii="Garamond" w:hAnsi="Garamond" w:cstheme="minorHAnsi"/>
          <w:sz w:val="22"/>
          <w:szCs w:val="22"/>
        </w:rPr>
        <w:t xml:space="preserve">users must correct these prior to submission. Users must also complete Table A.3 on the Front Page tab. If this table is not completed or if errors have not been corrected prior to submission, the submission will not be accepted by CHIA. For more information on how to use the template, please refer to the </w:t>
      </w:r>
      <w:r w:rsidR="009C20D0" w:rsidRPr="00F33781">
        <w:rPr>
          <w:rFonts w:ascii="Garamond" w:hAnsi="Garamond" w:cstheme="minorHAnsi"/>
          <w:b/>
          <w:bCs/>
          <w:sz w:val="22"/>
          <w:szCs w:val="22"/>
        </w:rPr>
        <w:t>RP Template User Guide</w:t>
      </w:r>
      <w:r w:rsidR="009C20D0">
        <w:rPr>
          <w:rFonts w:ascii="Garamond" w:hAnsi="Garamond" w:cstheme="minorHAnsi"/>
          <w:sz w:val="22"/>
          <w:szCs w:val="22"/>
        </w:rPr>
        <w:t xml:space="preserve"> document.</w:t>
      </w:r>
    </w:p>
    <w:p w14:paraId="53E7FF18" w14:textId="77777777" w:rsidR="006328ED" w:rsidRDefault="006328ED" w:rsidP="00AA7237">
      <w:pPr>
        <w:spacing w:line="276" w:lineRule="auto"/>
        <w:ind w:left="360"/>
        <w:rPr>
          <w:rFonts w:ascii="Garamond" w:hAnsi="Garamond" w:cstheme="minorHAnsi"/>
          <w:sz w:val="22"/>
          <w:szCs w:val="22"/>
        </w:rPr>
      </w:pPr>
    </w:p>
    <w:p w14:paraId="06322A2B" w14:textId="565D72D1" w:rsidR="006328ED" w:rsidRDefault="006328ED" w:rsidP="00AA7237">
      <w:pPr>
        <w:spacing w:line="276" w:lineRule="auto"/>
        <w:ind w:left="360"/>
        <w:rPr>
          <w:rFonts w:ascii="Garamond" w:hAnsi="Garamond" w:cstheme="minorHAnsi"/>
          <w:sz w:val="22"/>
          <w:szCs w:val="22"/>
        </w:rPr>
      </w:pPr>
      <w:r>
        <w:rPr>
          <w:rFonts w:ascii="Garamond" w:hAnsi="Garamond" w:cstheme="minorHAnsi"/>
          <w:sz w:val="22"/>
          <w:szCs w:val="22"/>
        </w:rPr>
        <w:lastRenderedPageBreak/>
        <w:t xml:space="preserve">When the template is completed, payers must submit the data via the </w:t>
      </w:r>
      <w:hyperlink r:id="rId18" w:history="1">
        <w:r w:rsidRPr="006328ED">
          <w:rPr>
            <w:rStyle w:val="Hyperlink"/>
            <w:rFonts w:ascii="Garamond" w:hAnsi="Garamond" w:cstheme="minorHAnsi"/>
            <w:sz w:val="22"/>
            <w:szCs w:val="22"/>
          </w:rPr>
          <w:t>CHIA Submissions</w:t>
        </w:r>
      </w:hyperlink>
      <w:r>
        <w:rPr>
          <w:rFonts w:ascii="Garamond" w:hAnsi="Garamond" w:cstheme="minorHAnsi"/>
          <w:sz w:val="22"/>
          <w:szCs w:val="22"/>
        </w:rPr>
        <w:t xml:space="preserve"> web portal. For more information on CHIA Submissions, please see the </w:t>
      </w:r>
      <w:hyperlink r:id="rId19" w:anchor="inetinfo" w:history="1">
        <w:r w:rsidRPr="006328ED">
          <w:rPr>
            <w:rStyle w:val="Hyperlink"/>
            <w:rFonts w:ascii="Garamond" w:hAnsi="Garamond" w:cstheme="minorHAnsi"/>
            <w:sz w:val="22"/>
            <w:szCs w:val="22"/>
          </w:rPr>
          <w:t>FAQ section</w:t>
        </w:r>
      </w:hyperlink>
      <w:r>
        <w:rPr>
          <w:rFonts w:ascii="Garamond" w:hAnsi="Garamond" w:cstheme="minorHAnsi"/>
          <w:sz w:val="22"/>
          <w:szCs w:val="22"/>
        </w:rPr>
        <w:t xml:space="preserve"> of the “Information for Data Submitters” page on CHIA’s website.</w:t>
      </w:r>
    </w:p>
    <w:p w14:paraId="0C5C2AA5" w14:textId="77777777" w:rsidR="009C20D0" w:rsidRPr="00AA7237" w:rsidRDefault="009C20D0" w:rsidP="00AA7237">
      <w:pPr>
        <w:spacing w:line="276" w:lineRule="auto"/>
        <w:ind w:left="360"/>
        <w:rPr>
          <w:rFonts w:ascii="Garamond" w:hAnsi="Garamond" w:cstheme="minorHAnsi"/>
          <w:sz w:val="22"/>
          <w:szCs w:val="22"/>
        </w:rPr>
      </w:pPr>
    </w:p>
    <w:p w14:paraId="598C9050" w14:textId="77777777" w:rsidR="009C20D0" w:rsidRDefault="009C20D0" w:rsidP="00AA7237">
      <w:pPr>
        <w:spacing w:line="276" w:lineRule="auto"/>
        <w:ind w:left="360"/>
        <w:rPr>
          <w:rFonts w:ascii="Garamond" w:hAnsi="Garamond" w:cstheme="minorHAnsi"/>
          <w:b/>
          <w:sz w:val="22"/>
          <w:szCs w:val="22"/>
        </w:rPr>
      </w:pPr>
    </w:p>
    <w:p w14:paraId="62355D15" w14:textId="77777777" w:rsidR="00A32B66" w:rsidRDefault="00A32B66" w:rsidP="005F7408">
      <w:pPr>
        <w:pStyle w:val="Default"/>
        <w:spacing w:line="276" w:lineRule="auto"/>
        <w:outlineLvl w:val="0"/>
        <w:rPr>
          <w:rFonts w:ascii="Garamond" w:hAnsi="Garamond" w:cstheme="minorHAnsi"/>
          <w:b/>
          <w:color w:val="auto"/>
          <w:sz w:val="22"/>
          <w:szCs w:val="22"/>
        </w:rPr>
      </w:pPr>
    </w:p>
    <w:p w14:paraId="579B71F7" w14:textId="77777777" w:rsidR="00600DDD" w:rsidRDefault="00600DDD" w:rsidP="005F7408">
      <w:pPr>
        <w:pStyle w:val="Default"/>
        <w:spacing w:line="276" w:lineRule="auto"/>
        <w:outlineLvl w:val="0"/>
        <w:rPr>
          <w:rFonts w:ascii="Garamond" w:hAnsi="Garamond" w:cstheme="minorHAnsi"/>
          <w:b/>
          <w:color w:val="auto"/>
          <w:sz w:val="22"/>
          <w:szCs w:val="22"/>
        </w:rPr>
      </w:pPr>
    </w:p>
    <w:p w14:paraId="387E26D4" w14:textId="77777777" w:rsidR="00600DDD" w:rsidRDefault="00600DDD" w:rsidP="005F7408">
      <w:pPr>
        <w:pStyle w:val="Default"/>
        <w:spacing w:line="276" w:lineRule="auto"/>
        <w:outlineLvl w:val="0"/>
        <w:rPr>
          <w:rFonts w:ascii="Garamond" w:hAnsi="Garamond" w:cstheme="minorHAnsi"/>
          <w:b/>
          <w:sz w:val="22"/>
          <w:szCs w:val="22"/>
        </w:rPr>
        <w:sectPr w:rsidR="00600DDD" w:rsidSect="0052532E">
          <w:headerReference w:type="default" r:id="rId20"/>
          <w:footerReference w:type="even" r:id="rId21"/>
          <w:footerReference w:type="default" r:id="rId22"/>
          <w:footerReference w:type="first" r:id="rId23"/>
          <w:pgSz w:w="12240" w:h="15840"/>
          <w:pgMar w:top="1440" w:right="1440" w:bottom="1440" w:left="1440" w:header="720" w:footer="720" w:gutter="0"/>
          <w:pgNumType w:start="0"/>
          <w:cols w:space="720"/>
          <w:titlePg/>
          <w:docGrid w:linePitch="360"/>
        </w:sectPr>
      </w:pPr>
    </w:p>
    <w:p w14:paraId="7925631E" w14:textId="1BB98DB5" w:rsidR="00A32B66" w:rsidRPr="00A32B66" w:rsidRDefault="00BB6073" w:rsidP="4908C82E">
      <w:pPr>
        <w:pStyle w:val="Default"/>
        <w:spacing w:line="276" w:lineRule="auto"/>
        <w:outlineLvl w:val="0"/>
        <w:rPr>
          <w:rFonts w:ascii="Garamond" w:hAnsi="Garamond" w:cstheme="minorBidi"/>
          <w:b/>
          <w:bCs/>
          <w:color w:val="auto"/>
          <w:sz w:val="22"/>
          <w:szCs w:val="22"/>
          <w:u w:val="single"/>
        </w:rPr>
      </w:pPr>
      <w:bookmarkStart w:id="7" w:name="_Toc112161031"/>
      <w:r w:rsidRPr="4908C82E">
        <w:rPr>
          <w:rFonts w:ascii="Garamond" w:hAnsi="Garamond" w:cstheme="minorBidi"/>
          <w:b/>
          <w:bCs/>
          <w:sz w:val="22"/>
          <w:szCs w:val="22"/>
        </w:rPr>
        <w:lastRenderedPageBreak/>
        <w:t xml:space="preserve">Appendix </w:t>
      </w:r>
      <w:r w:rsidR="00A32B66" w:rsidRPr="4908C82E">
        <w:rPr>
          <w:rFonts w:ascii="Garamond" w:hAnsi="Garamond" w:cstheme="minorBidi"/>
          <w:b/>
          <w:bCs/>
          <w:sz w:val="22"/>
          <w:szCs w:val="22"/>
        </w:rPr>
        <w:t>A</w:t>
      </w:r>
      <w:r w:rsidRPr="4908C82E">
        <w:rPr>
          <w:rFonts w:ascii="Garamond" w:hAnsi="Garamond" w:cstheme="minorBidi"/>
          <w:b/>
          <w:bCs/>
          <w:sz w:val="22"/>
          <w:szCs w:val="22"/>
        </w:rPr>
        <w:t xml:space="preserve">: </w:t>
      </w:r>
      <w:r w:rsidR="00A32B66" w:rsidRPr="4908C82E">
        <w:rPr>
          <w:rStyle w:val="Hyperlink"/>
          <w:rFonts w:ascii="Garamond" w:hAnsi="Garamond" w:cstheme="minorBidi"/>
          <w:color w:val="auto"/>
          <w:sz w:val="22"/>
          <w:szCs w:val="22"/>
          <w:u w:val="none"/>
        </w:rPr>
        <w:t>Uniform Relative Price Provider List</w:t>
      </w:r>
      <w:bookmarkEnd w:id="7"/>
    </w:p>
    <w:p w14:paraId="43EE3A8D" w14:textId="77777777" w:rsidR="00096FEE" w:rsidRDefault="00096FEE" w:rsidP="00D94268">
      <w:pPr>
        <w:spacing w:line="276" w:lineRule="auto"/>
        <w:rPr>
          <w:rFonts w:ascii="Garamond" w:hAnsi="Garamond" w:cstheme="minorHAnsi"/>
          <w:sz w:val="22"/>
          <w:szCs w:val="22"/>
        </w:rPr>
      </w:pPr>
    </w:p>
    <w:p w14:paraId="0B9D440B" w14:textId="35956E6A" w:rsidR="00600DDD" w:rsidRPr="00A55866" w:rsidRDefault="00AB3EDB" w:rsidP="00D94268">
      <w:pPr>
        <w:spacing w:line="276" w:lineRule="auto"/>
        <w:rPr>
          <w:rFonts w:ascii="Garamond" w:hAnsi="Garamond" w:cstheme="minorHAnsi"/>
          <w:sz w:val="22"/>
          <w:szCs w:val="22"/>
        </w:rPr>
        <w:sectPr w:rsidR="00600DDD" w:rsidRPr="00A55866" w:rsidSect="00E93D3F">
          <w:pgSz w:w="12240" w:h="15840"/>
          <w:pgMar w:top="1440" w:right="1440" w:bottom="1440" w:left="1440" w:header="720" w:footer="720" w:gutter="0"/>
          <w:cols w:space="720"/>
          <w:titlePg/>
          <w:docGrid w:linePitch="360"/>
        </w:sectPr>
      </w:pPr>
      <w:r>
        <w:rPr>
          <w:rFonts w:ascii="Garamond" w:hAnsi="Garamond" w:cstheme="minorHAnsi"/>
          <w:sz w:val="22"/>
          <w:szCs w:val="22"/>
        </w:rPr>
        <w:t>In addition to the Uniform Relative Price Provider List posted on CHIA’s website, t</w:t>
      </w:r>
      <w:r w:rsidR="00A32B66">
        <w:rPr>
          <w:rFonts w:ascii="Garamond" w:hAnsi="Garamond" w:cstheme="minorHAnsi"/>
          <w:sz w:val="22"/>
          <w:szCs w:val="22"/>
        </w:rPr>
        <w:t>he Provider List for each provider type is also included in the Relative Price Submission Template for each file type</w:t>
      </w:r>
      <w:r w:rsidR="008A02AC">
        <w:rPr>
          <w:rFonts w:ascii="Garamond" w:hAnsi="Garamond" w:cstheme="minorHAnsi"/>
          <w:sz w:val="22"/>
          <w:szCs w:val="22"/>
        </w:rPr>
        <w:t>.</w:t>
      </w:r>
    </w:p>
    <w:p w14:paraId="519C58F2" w14:textId="7106000B" w:rsidR="00A32B66" w:rsidRDefault="00A32B66" w:rsidP="00A32B66">
      <w:pPr>
        <w:pStyle w:val="Default"/>
        <w:spacing w:line="276" w:lineRule="auto"/>
        <w:outlineLvl w:val="0"/>
        <w:rPr>
          <w:rFonts w:ascii="Garamond" w:hAnsi="Garamond" w:cstheme="minorHAnsi"/>
          <w:b/>
          <w:sz w:val="22"/>
          <w:szCs w:val="22"/>
        </w:rPr>
      </w:pPr>
      <w:bookmarkStart w:id="8" w:name="_Toc112161032"/>
      <w:r w:rsidRPr="00A55866">
        <w:rPr>
          <w:rFonts w:ascii="Garamond" w:hAnsi="Garamond" w:cstheme="minorHAnsi"/>
          <w:b/>
          <w:sz w:val="22"/>
          <w:szCs w:val="22"/>
        </w:rPr>
        <w:lastRenderedPageBreak/>
        <w:t xml:space="preserve">Appendix B: </w:t>
      </w:r>
      <w:r w:rsidR="00D24DC2">
        <w:rPr>
          <w:rFonts w:ascii="Garamond" w:hAnsi="Garamond" w:cstheme="minorHAnsi"/>
          <w:b/>
          <w:sz w:val="22"/>
          <w:szCs w:val="22"/>
        </w:rPr>
        <w:t xml:space="preserve">RP Methodology Document </w:t>
      </w:r>
      <w:bookmarkEnd w:id="8"/>
    </w:p>
    <w:p w14:paraId="62D361B6" w14:textId="62586A24" w:rsidR="00B0111B" w:rsidRDefault="00B0111B" w:rsidP="00A32B66">
      <w:pPr>
        <w:pStyle w:val="Default"/>
        <w:spacing w:line="276" w:lineRule="auto"/>
        <w:outlineLvl w:val="0"/>
        <w:rPr>
          <w:rFonts w:ascii="Garamond" w:hAnsi="Garamond" w:cstheme="minorHAnsi"/>
          <w:b/>
          <w:sz w:val="22"/>
          <w:szCs w:val="22"/>
        </w:rPr>
      </w:pPr>
    </w:p>
    <w:p w14:paraId="74ECDDE9" w14:textId="771162BE" w:rsidR="00B0111B" w:rsidRPr="00D856BD" w:rsidRDefault="00B0111B" w:rsidP="00D856BD">
      <w:pPr>
        <w:rPr>
          <w:rFonts w:ascii="Garamond" w:hAnsi="Garamond"/>
          <w:sz w:val="22"/>
          <w:szCs w:val="22"/>
        </w:rPr>
      </w:pPr>
      <w:r>
        <w:rPr>
          <w:rFonts w:ascii="Garamond" w:hAnsi="Garamond"/>
          <w:sz w:val="22"/>
          <w:szCs w:val="22"/>
        </w:rPr>
        <w:t>For detailed documentation of RP calculation methodology, and examples of sample calculations, please see the Methodology Document linked above.</w:t>
      </w:r>
    </w:p>
    <w:p w14:paraId="43AA7359" w14:textId="77777777" w:rsidR="00B0111B" w:rsidRDefault="00B0111B">
      <w:pPr>
        <w:rPr>
          <w:rFonts w:ascii="Garamond" w:hAnsi="Garamond" w:cstheme="minorHAnsi"/>
          <w:b/>
          <w:bCs/>
          <w:kern w:val="32"/>
          <w:sz w:val="22"/>
          <w:szCs w:val="22"/>
        </w:rPr>
      </w:pPr>
      <w:r>
        <w:rPr>
          <w:rFonts w:ascii="Garamond" w:hAnsi="Garamond" w:cstheme="minorHAnsi"/>
          <w:sz w:val="22"/>
          <w:szCs w:val="22"/>
        </w:rPr>
        <w:br w:type="page"/>
      </w:r>
    </w:p>
    <w:p w14:paraId="326BCB60" w14:textId="0E3C8AEE" w:rsidR="002D1EE5" w:rsidRPr="000F7846" w:rsidRDefault="000E0D74" w:rsidP="005F7408">
      <w:pPr>
        <w:pStyle w:val="Heading1"/>
        <w:rPr>
          <w:rFonts w:ascii="Garamond" w:hAnsi="Garamond" w:cstheme="minorHAnsi"/>
          <w:sz w:val="22"/>
          <w:szCs w:val="22"/>
        </w:rPr>
      </w:pPr>
      <w:bookmarkStart w:id="9" w:name="_Toc112161033"/>
      <w:r w:rsidRPr="000F7846">
        <w:rPr>
          <w:rFonts w:ascii="Garamond" w:hAnsi="Garamond" w:cstheme="minorHAnsi"/>
          <w:sz w:val="22"/>
          <w:szCs w:val="22"/>
        </w:rPr>
        <w:lastRenderedPageBreak/>
        <w:t xml:space="preserve">Appendix </w:t>
      </w:r>
      <w:r w:rsidR="00D31EB4">
        <w:rPr>
          <w:rFonts w:ascii="Garamond" w:hAnsi="Garamond" w:cstheme="minorHAnsi"/>
          <w:sz w:val="22"/>
          <w:szCs w:val="22"/>
        </w:rPr>
        <w:t>C</w:t>
      </w:r>
      <w:r w:rsidRPr="000F7846">
        <w:rPr>
          <w:rFonts w:ascii="Garamond" w:hAnsi="Garamond" w:cstheme="minorHAnsi"/>
          <w:sz w:val="22"/>
          <w:szCs w:val="22"/>
        </w:rPr>
        <w:t>:</w:t>
      </w:r>
      <w:r w:rsidR="00E973E8" w:rsidRPr="000F7846">
        <w:rPr>
          <w:rFonts w:ascii="Garamond" w:hAnsi="Garamond" w:cstheme="minorHAnsi"/>
          <w:sz w:val="22"/>
          <w:szCs w:val="22"/>
        </w:rPr>
        <w:t xml:space="preserve"> Data </w:t>
      </w:r>
      <w:r w:rsidRPr="000F7846">
        <w:rPr>
          <w:rFonts w:ascii="Garamond" w:hAnsi="Garamond" w:cstheme="minorHAnsi"/>
          <w:sz w:val="22"/>
          <w:szCs w:val="22"/>
        </w:rPr>
        <w:t>Submission Guidelines</w:t>
      </w:r>
      <w:bookmarkEnd w:id="9"/>
    </w:p>
    <w:p w14:paraId="6C65E6BB" w14:textId="77777777" w:rsidR="00251E0E" w:rsidRPr="00A55866" w:rsidRDefault="00251E0E" w:rsidP="00817E16">
      <w:pPr>
        <w:rPr>
          <w:rFonts w:ascii="Garamond" w:hAnsi="Garamond"/>
          <w:b/>
        </w:rPr>
      </w:pPr>
    </w:p>
    <w:tbl>
      <w:tblPr>
        <w:tblW w:w="114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5"/>
        <w:gridCol w:w="1103"/>
        <w:gridCol w:w="517"/>
        <w:gridCol w:w="1283"/>
        <w:gridCol w:w="1260"/>
        <w:gridCol w:w="900"/>
        <w:gridCol w:w="1260"/>
        <w:gridCol w:w="1080"/>
        <w:gridCol w:w="3420"/>
      </w:tblGrid>
      <w:tr w:rsidR="00FE3AB2" w:rsidRPr="007152C1" w14:paraId="7513CC54" w14:textId="77777777" w:rsidTr="4908C82E">
        <w:trPr>
          <w:trHeight w:val="552"/>
          <w:tblHeader/>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C51915E" w14:textId="17AA2662" w:rsidR="00FE3AB2" w:rsidRPr="00D93798" w:rsidRDefault="00FE3AB2">
            <w:pPr>
              <w:jc w:val="center"/>
              <w:rPr>
                <w:rFonts w:ascii="Arial" w:hAnsi="Arial" w:cs="Arial"/>
                <w:b/>
                <w:sz w:val="18"/>
                <w:szCs w:val="18"/>
              </w:rPr>
            </w:pPr>
            <w:r>
              <w:rPr>
                <w:rFonts w:ascii="Arial" w:hAnsi="Arial" w:cs="Arial"/>
                <w:b/>
                <w:sz w:val="18"/>
                <w:szCs w:val="18"/>
              </w:rPr>
              <w:t>File</w:t>
            </w: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7DBBE6" w14:textId="08942772" w:rsidR="00FE3AB2" w:rsidRPr="00D93798" w:rsidRDefault="00FE3AB2">
            <w:pPr>
              <w:jc w:val="center"/>
              <w:rPr>
                <w:rFonts w:ascii="Arial" w:hAnsi="Arial" w:cs="Arial"/>
                <w:b/>
                <w:sz w:val="18"/>
                <w:szCs w:val="18"/>
              </w:rPr>
            </w:pPr>
            <w:r>
              <w:rPr>
                <w:rFonts w:ascii="Arial" w:hAnsi="Arial" w:cs="Arial"/>
                <w:b/>
                <w:sz w:val="18"/>
                <w:szCs w:val="18"/>
              </w:rPr>
              <w:t>Tab</w:t>
            </w: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427953" w14:textId="4C1248C0" w:rsidR="00FE3AB2" w:rsidRPr="00D93798" w:rsidRDefault="00FE3AB2" w:rsidP="007152C1">
            <w:pPr>
              <w:jc w:val="center"/>
              <w:rPr>
                <w:rFonts w:ascii="Arial" w:hAnsi="Arial" w:cs="Arial"/>
                <w:b/>
                <w:sz w:val="18"/>
                <w:szCs w:val="18"/>
              </w:rPr>
            </w:pPr>
            <w:r w:rsidRPr="00D93798">
              <w:rPr>
                <w:rFonts w:ascii="Arial" w:hAnsi="Arial" w:cs="Arial"/>
                <w:b/>
                <w:sz w:val="18"/>
                <w:szCs w:val="18"/>
              </w:rPr>
              <w:t>Col</w:t>
            </w: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DEB491"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Data Element Name</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C1E265"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Date Active (version)</w:t>
            </w: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16FFD4"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Type</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613843"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Format</w:t>
            </w: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B93B01" w14:textId="77777777" w:rsidR="00FE3AB2" w:rsidRPr="00D93798" w:rsidRDefault="00FE3AB2" w:rsidP="007152C1">
            <w:pPr>
              <w:jc w:val="center"/>
              <w:rPr>
                <w:rFonts w:ascii="Arial" w:hAnsi="Arial" w:cs="Arial"/>
                <w:b/>
                <w:sz w:val="18"/>
                <w:szCs w:val="18"/>
              </w:rPr>
            </w:pPr>
            <w:r w:rsidRPr="00D93798">
              <w:rPr>
                <w:rFonts w:ascii="Arial" w:hAnsi="Arial" w:cs="Arial"/>
                <w:b/>
                <w:sz w:val="18"/>
                <w:szCs w:val="18"/>
              </w:rPr>
              <w:t>Required</w:t>
            </w: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2197114" w14:textId="77777777" w:rsidR="00FE3AB2" w:rsidRPr="00D93798" w:rsidRDefault="00FE3AB2" w:rsidP="007152C1">
            <w:pPr>
              <w:jc w:val="center"/>
              <w:rPr>
                <w:rFonts w:ascii="Arial" w:hAnsi="Arial" w:cs="Arial"/>
                <w:b/>
                <w:bCs/>
                <w:sz w:val="18"/>
                <w:szCs w:val="18"/>
              </w:rPr>
            </w:pPr>
            <w:r w:rsidRPr="00D93798">
              <w:rPr>
                <w:rFonts w:ascii="Arial" w:hAnsi="Arial" w:cs="Arial"/>
                <w:b/>
                <w:bCs/>
                <w:sz w:val="18"/>
                <w:szCs w:val="18"/>
              </w:rPr>
              <w:t>Element Submission Guideline</w:t>
            </w:r>
          </w:p>
        </w:tc>
      </w:tr>
      <w:tr w:rsidR="00FE3AB2" w:rsidRPr="007152C1" w14:paraId="0EAD8D0A"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139297F9" w14:textId="758F37D1"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2B136A3" w14:textId="36B9F8FC"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79DCDCD5" w14:textId="125D524D" w:rsidR="00FE3AB2" w:rsidRPr="00D93798" w:rsidRDefault="00FE3AB2" w:rsidP="007152C1">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047374BE" w14:textId="212B13BD" w:rsidR="00FE3AB2" w:rsidRPr="00D93798" w:rsidRDefault="00FE3AB2" w:rsidP="007152C1">
            <w:pPr>
              <w:jc w:val="center"/>
              <w:rPr>
                <w:rFonts w:ascii="Arial" w:hAnsi="Arial" w:cs="Arial"/>
                <w:sz w:val="18"/>
                <w:szCs w:val="18"/>
              </w:rPr>
            </w:pPr>
            <w:r>
              <w:rPr>
                <w:rFonts w:ascii="Arial" w:hAnsi="Arial" w:cs="Arial"/>
                <w:sz w:val="18"/>
                <w:szCs w:val="18"/>
              </w:rPr>
              <w:t>Hospital OrgID</w:t>
            </w:r>
          </w:p>
        </w:tc>
        <w:tc>
          <w:tcPr>
            <w:tcW w:w="1260" w:type="dxa"/>
            <w:tcBorders>
              <w:top w:val="single" w:sz="6" w:space="0" w:color="auto"/>
              <w:left w:val="single" w:sz="6" w:space="0" w:color="auto"/>
              <w:bottom w:val="single" w:sz="6" w:space="0" w:color="auto"/>
              <w:right w:val="single" w:sz="6" w:space="0" w:color="auto"/>
            </w:tcBorders>
          </w:tcPr>
          <w:p w14:paraId="5C524855" w14:textId="47B89B87" w:rsidR="00FE3AB2" w:rsidRPr="00D93798" w:rsidRDefault="00FE3AB2" w:rsidP="00436363">
            <w:pPr>
              <w:jc w:val="center"/>
              <w:rPr>
                <w:rFonts w:ascii="Arial" w:hAnsi="Arial" w:cs="Arial"/>
                <w:sz w:val="18"/>
                <w:szCs w:val="18"/>
              </w:rPr>
            </w:pPr>
            <w:r>
              <w:rPr>
                <w:rFonts w:ascii="Arial" w:hAnsi="Arial" w:cs="Arial"/>
                <w:sz w:val="18"/>
                <w:szCs w:val="18"/>
              </w:rPr>
              <w:t>0</w:t>
            </w:r>
            <w:r w:rsidR="00436363">
              <w:rPr>
                <w:rFonts w:ascii="Arial" w:hAnsi="Arial" w:cs="Arial"/>
                <w:sz w:val="18"/>
                <w:szCs w:val="18"/>
              </w:rPr>
              <w:t>5</w:t>
            </w:r>
            <w:r>
              <w:rPr>
                <w:rFonts w:ascii="Arial" w:hAnsi="Arial" w:cs="Arial"/>
                <w:sz w:val="18"/>
                <w:szCs w:val="18"/>
              </w:rPr>
              <w:t>/0</w:t>
            </w:r>
            <w:r w:rsidR="00436363">
              <w:rPr>
                <w:rFonts w:ascii="Arial" w:hAnsi="Arial" w:cs="Arial"/>
                <w:sz w:val="18"/>
                <w:szCs w:val="18"/>
              </w:rPr>
              <w:t>4</w:t>
            </w:r>
            <w:r>
              <w:rPr>
                <w:rFonts w:ascii="Arial" w:hAnsi="Arial" w:cs="Arial"/>
                <w:sz w:val="18"/>
                <w:szCs w:val="18"/>
              </w:rPr>
              <w:t>/2020</w:t>
            </w:r>
          </w:p>
        </w:tc>
        <w:tc>
          <w:tcPr>
            <w:tcW w:w="900" w:type="dxa"/>
            <w:tcBorders>
              <w:top w:val="single" w:sz="6" w:space="0" w:color="auto"/>
              <w:left w:val="single" w:sz="6" w:space="0" w:color="auto"/>
              <w:bottom w:val="single" w:sz="6" w:space="0" w:color="auto"/>
              <w:right w:val="single" w:sz="6" w:space="0" w:color="auto"/>
            </w:tcBorders>
          </w:tcPr>
          <w:p w14:paraId="5BADBE44" w14:textId="1806233D" w:rsidR="00FE3AB2" w:rsidRPr="00D93798" w:rsidRDefault="00FE3AB2" w:rsidP="007152C1">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3692B4B" w14:textId="3E829A1A"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B6FD3FB"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A0511F" w14:textId="73F41F21" w:rsidR="00FE3AB2" w:rsidRPr="00D93798" w:rsidRDefault="00FE3AB2" w:rsidP="006160F2">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Hospital List tab</w:t>
            </w:r>
            <w:r w:rsidRPr="00D93798">
              <w:rPr>
                <w:rFonts w:ascii="Arial" w:hAnsi="Arial" w:cs="Arial"/>
                <w:spacing w:val="-3"/>
                <w:sz w:val="18"/>
                <w:szCs w:val="18"/>
              </w:rPr>
              <w:t xml:space="preserve"> for the number associated with each provider</w:t>
            </w:r>
          </w:p>
          <w:p w14:paraId="1D54D70C" w14:textId="77777777" w:rsidR="00FE3AB2" w:rsidRPr="00D93798" w:rsidRDefault="00FE3AB2" w:rsidP="006160F2">
            <w:pPr>
              <w:rPr>
                <w:rFonts w:ascii="Arial" w:hAnsi="Arial" w:cs="Arial"/>
                <w:spacing w:val="-3"/>
                <w:sz w:val="18"/>
                <w:szCs w:val="18"/>
              </w:rPr>
            </w:pPr>
          </w:p>
          <w:p w14:paraId="1DDBA74A" w14:textId="688D3DCB" w:rsidR="00FE3AB2" w:rsidRPr="00D93798" w:rsidRDefault="00FE3AB2" w:rsidP="007152C1">
            <w:pPr>
              <w:rPr>
                <w:rFonts w:ascii="Arial" w:hAnsi="Arial" w:cs="Arial"/>
                <w:bCs/>
                <w:sz w:val="18"/>
                <w:szCs w:val="18"/>
              </w:rPr>
            </w:pPr>
            <w:r w:rsidRPr="00D93798">
              <w:rPr>
                <w:rFonts w:ascii="Arial" w:hAnsi="Arial" w:cs="Arial"/>
                <w:spacing w:val="-3"/>
                <w:sz w:val="18"/>
                <w:szCs w:val="18"/>
              </w:rPr>
              <w:t>Must be a CHIA-issued OrgID.</w:t>
            </w:r>
          </w:p>
        </w:tc>
      </w:tr>
      <w:tr w:rsidR="00FE3AB2" w:rsidRPr="007152C1" w14:paraId="42A7B48A"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3308733A" w14:textId="0D888704"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F3B9832" w14:textId="4AE861FF"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6639538E" w14:textId="49B05801" w:rsidR="00FE3AB2" w:rsidRPr="00D93798" w:rsidRDefault="00FE3AB2" w:rsidP="007152C1">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0E32FB6A" w14:textId="0D2CF702" w:rsidR="00FE3AB2" w:rsidRPr="00D93798" w:rsidRDefault="00FE3AB2" w:rsidP="007152C1">
            <w:pPr>
              <w:jc w:val="center"/>
              <w:rPr>
                <w:rFonts w:ascii="Arial" w:hAnsi="Arial" w:cs="Arial"/>
                <w:sz w:val="18"/>
                <w:szCs w:val="18"/>
              </w:rPr>
            </w:pPr>
            <w:r>
              <w:rPr>
                <w:rFonts w:ascii="Arial" w:hAnsi="Arial" w:cs="Arial"/>
                <w:sz w:val="18"/>
                <w:szCs w:val="18"/>
              </w:rPr>
              <w:t>Hospital Type Code</w:t>
            </w:r>
          </w:p>
        </w:tc>
        <w:tc>
          <w:tcPr>
            <w:tcW w:w="1260" w:type="dxa"/>
            <w:tcBorders>
              <w:top w:val="single" w:sz="6" w:space="0" w:color="auto"/>
              <w:left w:val="single" w:sz="6" w:space="0" w:color="auto"/>
              <w:bottom w:val="single" w:sz="6" w:space="0" w:color="auto"/>
              <w:right w:val="single" w:sz="6" w:space="0" w:color="auto"/>
            </w:tcBorders>
          </w:tcPr>
          <w:p w14:paraId="54E3C19C" w14:textId="1BE5454C"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0876F0A"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6BBA5A8" w14:textId="2FC73374"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5C3A8D4"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F473EDB" w14:textId="309982DB" w:rsidR="00FE3AB2" w:rsidRDefault="00FE3AB2" w:rsidP="007152C1">
            <w:pPr>
              <w:rPr>
                <w:rFonts w:ascii="Arial" w:hAnsi="Arial" w:cs="Arial"/>
                <w:sz w:val="18"/>
                <w:szCs w:val="18"/>
              </w:rPr>
            </w:pPr>
            <w:r>
              <w:rPr>
                <w:rFonts w:ascii="Arial" w:hAnsi="Arial" w:cs="Arial"/>
                <w:sz w:val="18"/>
                <w:szCs w:val="18"/>
              </w:rPr>
              <w:t>Hospital Type.</w:t>
            </w:r>
          </w:p>
          <w:p w14:paraId="16F9BF36" w14:textId="77777777" w:rsidR="00FE3AB2" w:rsidRDefault="00FE3AB2" w:rsidP="007152C1">
            <w:pPr>
              <w:rPr>
                <w:rFonts w:ascii="Arial" w:hAnsi="Arial" w:cs="Arial"/>
                <w:sz w:val="18"/>
                <w:szCs w:val="18"/>
              </w:rPr>
            </w:pPr>
          </w:p>
          <w:p w14:paraId="0A643DE8" w14:textId="66F6D12E" w:rsidR="00FE3AB2" w:rsidRPr="00D93798" w:rsidRDefault="00FE3AB2" w:rsidP="007152C1">
            <w:pPr>
              <w:rPr>
                <w:rFonts w:ascii="Arial" w:hAnsi="Arial" w:cs="Arial"/>
                <w:bCs/>
                <w:sz w:val="18"/>
                <w:szCs w:val="18"/>
              </w:rPr>
            </w:pPr>
            <w:r>
              <w:rPr>
                <w:rFonts w:ascii="Arial" w:hAnsi="Arial" w:cs="Arial"/>
                <w:sz w:val="18"/>
                <w:szCs w:val="18"/>
              </w:rPr>
              <w:t>See Table E.1 on the Reference Tables tab.</w:t>
            </w:r>
          </w:p>
        </w:tc>
      </w:tr>
      <w:tr w:rsidR="00FE3AB2" w:rsidRPr="007152C1" w14:paraId="075E5772"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36C5E202" w14:textId="0C3DC6FB"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058AC81" w14:textId="50046082"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607C3254" w14:textId="3907403C" w:rsidR="00FE3AB2" w:rsidRPr="00D93798" w:rsidRDefault="00FE3AB2" w:rsidP="007152C1">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7BFAB47E" w14:textId="66380859" w:rsidR="00FE3AB2" w:rsidRPr="00D93798" w:rsidRDefault="00FE3AB2" w:rsidP="007152C1">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5BEB3FE8" w14:textId="45A0351F"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AFF841D" w14:textId="72D31128" w:rsidR="00FE3AB2" w:rsidRPr="00D93798" w:rsidRDefault="00FE3AB2" w:rsidP="007152C1">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77C4EC2" w14:textId="3521ED19"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E8A410E" w14:textId="2646206C" w:rsidR="00FE3AB2" w:rsidRPr="00D93798" w:rsidRDefault="00FE3AB2" w:rsidP="007152C1">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30718DF" w14:textId="72F239FE" w:rsidR="00FE3AB2" w:rsidRDefault="00FE3AB2" w:rsidP="007152C1">
            <w:pPr>
              <w:rPr>
                <w:rFonts w:ascii="Arial" w:hAnsi="Arial" w:cs="Arial"/>
                <w:bCs/>
                <w:sz w:val="18"/>
                <w:szCs w:val="18"/>
              </w:rPr>
            </w:pPr>
            <w:r>
              <w:rPr>
                <w:rFonts w:ascii="Arial" w:hAnsi="Arial" w:cs="Arial"/>
                <w:bCs/>
                <w:sz w:val="18"/>
                <w:szCs w:val="18"/>
              </w:rPr>
              <w:t>Insurance Category.</w:t>
            </w:r>
          </w:p>
          <w:p w14:paraId="1B9DC88E" w14:textId="77777777" w:rsidR="00FE3AB2" w:rsidRDefault="00FE3AB2" w:rsidP="007152C1">
            <w:pPr>
              <w:rPr>
                <w:rFonts w:ascii="Arial" w:hAnsi="Arial" w:cs="Arial"/>
                <w:bCs/>
                <w:sz w:val="18"/>
                <w:szCs w:val="18"/>
              </w:rPr>
            </w:pPr>
          </w:p>
          <w:p w14:paraId="48EEAC8C" w14:textId="0F23AED5" w:rsidR="00FE3AB2" w:rsidRPr="00D93798" w:rsidRDefault="00FE3AB2" w:rsidP="007152C1">
            <w:pPr>
              <w:rPr>
                <w:rFonts w:ascii="Arial" w:hAnsi="Arial" w:cs="Arial"/>
                <w:bCs/>
                <w:sz w:val="18"/>
                <w:szCs w:val="18"/>
              </w:rPr>
            </w:pPr>
            <w:r>
              <w:rPr>
                <w:rFonts w:ascii="Arial" w:hAnsi="Arial" w:cs="Arial"/>
                <w:bCs/>
                <w:sz w:val="18"/>
                <w:szCs w:val="18"/>
              </w:rPr>
              <w:t>See Table E.2 on the Reference Tables tab.</w:t>
            </w:r>
          </w:p>
        </w:tc>
      </w:tr>
      <w:tr w:rsidR="00FE3AB2" w:rsidRPr="007152C1" w14:paraId="2DB2F68A"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494D690F" w14:textId="51A7A7CE"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EE57A71" w14:textId="52F73224"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39C44A94" w14:textId="27DD5E48" w:rsidR="00FE3AB2" w:rsidRPr="00D93798" w:rsidRDefault="00FE3AB2" w:rsidP="007152C1">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2337ED0C" w14:textId="7276BED4" w:rsidR="00FE3AB2" w:rsidRPr="00D93798" w:rsidRDefault="00FE3AB2" w:rsidP="007152C1">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338DA44D" w14:textId="2E22CF2A"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5BE4E7A0"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796D42A" w14:textId="697FC774"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3B4CE6F1"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33CC357" w14:textId="189DE0CB" w:rsidR="00FE3AB2" w:rsidRDefault="00FE3AB2" w:rsidP="007152C1">
            <w:pPr>
              <w:rPr>
                <w:rFonts w:ascii="Arial" w:hAnsi="Arial" w:cs="Arial"/>
                <w:bCs/>
                <w:sz w:val="18"/>
                <w:szCs w:val="18"/>
              </w:rPr>
            </w:pPr>
            <w:r>
              <w:rPr>
                <w:rFonts w:ascii="Arial" w:hAnsi="Arial" w:cs="Arial"/>
                <w:bCs/>
                <w:sz w:val="18"/>
                <w:szCs w:val="18"/>
              </w:rPr>
              <w:t>Product Type.</w:t>
            </w:r>
          </w:p>
          <w:p w14:paraId="20C383A4" w14:textId="77777777" w:rsidR="00FE3AB2" w:rsidRDefault="00FE3AB2" w:rsidP="007152C1">
            <w:pPr>
              <w:rPr>
                <w:rFonts w:ascii="Arial" w:hAnsi="Arial" w:cs="Arial"/>
                <w:bCs/>
                <w:sz w:val="18"/>
                <w:szCs w:val="18"/>
              </w:rPr>
            </w:pPr>
          </w:p>
          <w:p w14:paraId="104477C2" w14:textId="079DEDF1" w:rsidR="00FE3AB2" w:rsidRPr="00D93798" w:rsidRDefault="00FE3AB2" w:rsidP="007152C1">
            <w:pPr>
              <w:rPr>
                <w:rFonts w:ascii="Arial" w:hAnsi="Arial" w:cs="Arial"/>
                <w:bCs/>
                <w:sz w:val="18"/>
                <w:szCs w:val="18"/>
              </w:rPr>
            </w:pPr>
            <w:r>
              <w:rPr>
                <w:rFonts w:ascii="Arial" w:hAnsi="Arial" w:cs="Arial"/>
                <w:bCs/>
                <w:sz w:val="18"/>
                <w:szCs w:val="18"/>
              </w:rPr>
              <w:t>See Table E.3 on the Reference Tables tab.</w:t>
            </w:r>
          </w:p>
        </w:tc>
      </w:tr>
      <w:tr w:rsidR="00FE3AB2" w:rsidRPr="007152C1" w14:paraId="4467C342"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45A8D44A" w14:textId="7BC59938"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1320E0F" w14:textId="704B83E4"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78E4F1A6" w14:textId="6693F280" w:rsidR="00FE3AB2" w:rsidRPr="00D93798" w:rsidRDefault="00FE3AB2" w:rsidP="007152C1">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540551AF" w14:textId="54CB0DC3" w:rsidR="00FE3AB2" w:rsidRPr="00D93798" w:rsidRDefault="00FE3AB2" w:rsidP="007152C1">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6B1B92C5" w14:textId="08723D20"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BDA8B80" w14:textId="68AB722A" w:rsidR="00FE3AB2" w:rsidRPr="00D93798" w:rsidRDefault="00FE3AB2" w:rsidP="007152C1">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DB1EAAB" w14:textId="5A482166"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3AA8374"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5DC5F183" w14:textId="000930C2" w:rsidR="00FE3AB2" w:rsidRPr="00D93798" w:rsidRDefault="00FE3AB2" w:rsidP="00FE3AB2">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Hospital/Hospital Type/Insurance Category/Product Type</w:t>
            </w:r>
            <w:r w:rsidRPr="00D93798">
              <w:rPr>
                <w:rFonts w:ascii="Arial" w:hAnsi="Arial" w:cs="Arial"/>
                <w:bCs/>
                <w:sz w:val="18"/>
                <w:szCs w:val="18"/>
              </w:rPr>
              <w:t xml:space="preserve"> combination.</w:t>
            </w:r>
          </w:p>
          <w:p w14:paraId="0DCF1BD7" w14:textId="77777777" w:rsidR="00FE3AB2" w:rsidRPr="00D93798" w:rsidRDefault="00FE3AB2" w:rsidP="00FE3AB2">
            <w:pPr>
              <w:rPr>
                <w:rFonts w:ascii="Arial" w:hAnsi="Arial" w:cs="Arial"/>
                <w:bCs/>
                <w:sz w:val="18"/>
                <w:szCs w:val="18"/>
              </w:rPr>
            </w:pPr>
          </w:p>
          <w:p w14:paraId="5D6BB423"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No negative values.</w:t>
            </w:r>
          </w:p>
          <w:p w14:paraId="4F81DF7E" w14:textId="1C361F26" w:rsidR="00FE3AB2" w:rsidRPr="00D93798" w:rsidRDefault="00FE3AB2" w:rsidP="007152C1">
            <w:pPr>
              <w:rPr>
                <w:rFonts w:ascii="Arial" w:hAnsi="Arial" w:cs="Arial"/>
                <w:bCs/>
                <w:sz w:val="18"/>
                <w:szCs w:val="18"/>
              </w:rPr>
            </w:pPr>
          </w:p>
        </w:tc>
      </w:tr>
      <w:tr w:rsidR="00FE3AB2" w:rsidRPr="007152C1" w14:paraId="5E3DFB3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5BBA96B0" w14:textId="6355A728"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F527095" w14:textId="1C0FA27D"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2033C45E" w14:textId="67FA85C4" w:rsidR="00FE3AB2" w:rsidRPr="00D93798" w:rsidRDefault="00FE3AB2" w:rsidP="007152C1">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2BCC40C1" w14:textId="10EAA10C" w:rsidR="00FE3AB2" w:rsidRPr="00D93798" w:rsidRDefault="00FE3AB2" w:rsidP="007152C1">
            <w:pPr>
              <w:jc w:val="center"/>
              <w:rPr>
                <w:rFonts w:ascii="Arial" w:hAnsi="Arial" w:cs="Arial"/>
                <w:sz w:val="18"/>
                <w:szCs w:val="18"/>
              </w:rPr>
            </w:pPr>
            <w:r>
              <w:rPr>
                <w:rFonts w:ascii="Arial" w:hAnsi="Arial" w:cs="Arial"/>
                <w:sz w:val="18"/>
                <w:szCs w:val="18"/>
              </w:rPr>
              <w:t>NonClaims Payments</w:t>
            </w:r>
          </w:p>
        </w:tc>
        <w:tc>
          <w:tcPr>
            <w:tcW w:w="1260" w:type="dxa"/>
            <w:tcBorders>
              <w:top w:val="single" w:sz="6" w:space="0" w:color="auto"/>
              <w:left w:val="single" w:sz="6" w:space="0" w:color="auto"/>
              <w:bottom w:val="single" w:sz="6" w:space="0" w:color="auto"/>
              <w:right w:val="single" w:sz="6" w:space="0" w:color="auto"/>
            </w:tcBorders>
          </w:tcPr>
          <w:p w14:paraId="55DCECA0" w14:textId="219FB750"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76E9F07" w14:textId="398B0AF2" w:rsidR="00FE3AB2" w:rsidRPr="00D93798" w:rsidRDefault="00FE3AB2" w:rsidP="007152C1">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F4EFC2D" w14:textId="6A1344B3" w:rsidR="00FE3AB2" w:rsidRPr="00D93798" w:rsidRDefault="00FE3AB2" w:rsidP="007152C1">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99D28DE"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D35A66A" w14:textId="1CEC59DF" w:rsidR="00FE3AB2" w:rsidRPr="00D93798" w:rsidRDefault="00FE3AB2" w:rsidP="007152C1">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Hospital/Hospital Type/Insurance Category/Product Type</w:t>
            </w:r>
            <w:r w:rsidRPr="00D93798">
              <w:rPr>
                <w:rFonts w:ascii="Arial" w:hAnsi="Arial" w:cs="Arial"/>
                <w:bCs/>
                <w:sz w:val="18"/>
                <w:szCs w:val="18"/>
              </w:rPr>
              <w:t xml:space="preserve"> combination.</w:t>
            </w:r>
          </w:p>
        </w:tc>
      </w:tr>
      <w:tr w:rsidR="00FE3AB2" w:rsidRPr="007152C1" w14:paraId="2E7DBD6C"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ADB2422" w14:textId="32408121" w:rsidR="00FE3AB2" w:rsidRPr="00D93798" w:rsidRDefault="00FE3AB2">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E7F84EA" w14:textId="1ED9552D"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1405D3D7" w14:textId="6FA68AEE" w:rsidR="00FE3AB2" w:rsidRPr="00D93798" w:rsidRDefault="00FE3AB2" w:rsidP="007152C1">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1BDA9FD3" w14:textId="632CB249" w:rsidR="00FE3AB2" w:rsidRPr="00D93798" w:rsidRDefault="00FE3AB2" w:rsidP="007152C1">
            <w:pPr>
              <w:jc w:val="center"/>
              <w:rPr>
                <w:rFonts w:ascii="Arial" w:hAnsi="Arial" w:cs="Arial"/>
                <w:sz w:val="18"/>
                <w:szCs w:val="18"/>
              </w:rPr>
            </w:pPr>
            <w:r>
              <w:rPr>
                <w:rFonts w:ascii="Arial" w:hAnsi="Arial" w:cs="Arial"/>
                <w:sz w:val="18"/>
                <w:szCs w:val="18"/>
              </w:rPr>
              <w:t>Discharges</w:t>
            </w:r>
          </w:p>
        </w:tc>
        <w:tc>
          <w:tcPr>
            <w:tcW w:w="1260" w:type="dxa"/>
            <w:tcBorders>
              <w:top w:val="single" w:sz="6" w:space="0" w:color="auto"/>
              <w:left w:val="single" w:sz="6" w:space="0" w:color="auto"/>
              <w:bottom w:val="single" w:sz="6" w:space="0" w:color="auto"/>
              <w:right w:val="single" w:sz="6" w:space="0" w:color="auto"/>
            </w:tcBorders>
          </w:tcPr>
          <w:p w14:paraId="2D321A4D" w14:textId="074844DE"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627BBBC"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D5A0B3D" w14:textId="474DF971" w:rsidR="00FE3AB2" w:rsidRPr="00D93798" w:rsidRDefault="00FE3AB2" w:rsidP="007152C1">
            <w:pPr>
              <w:jc w:val="center"/>
              <w:rPr>
                <w:rFonts w:ascii="Arial" w:hAnsi="Arial" w:cs="Arial"/>
                <w:sz w:val="18"/>
                <w:szCs w:val="18"/>
              </w:rPr>
            </w:pPr>
            <w:r w:rsidRPr="00D93798">
              <w:rPr>
                <w:rFonts w:ascii="Arial" w:hAnsi="Arial" w:cs="Arial"/>
                <w:sz w:val="18"/>
                <w:szCs w:val="18"/>
              </w:rPr>
              <w:t>#</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2B7A1EB"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A6DA8AD"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Total Number of Discharges</w:t>
            </w:r>
          </w:p>
          <w:p w14:paraId="6BECE04B" w14:textId="77777777" w:rsidR="00FE3AB2" w:rsidRPr="00D93798" w:rsidRDefault="00FE3AB2" w:rsidP="00FE3AB2">
            <w:pPr>
              <w:rPr>
                <w:rFonts w:ascii="Arial" w:hAnsi="Arial" w:cs="Arial"/>
                <w:bCs/>
                <w:sz w:val="18"/>
                <w:szCs w:val="18"/>
              </w:rPr>
            </w:pPr>
          </w:p>
          <w:p w14:paraId="19CB7CC1" w14:textId="5EA3F9CD" w:rsidR="00FE3AB2" w:rsidRPr="00D93798" w:rsidRDefault="00FE3AB2" w:rsidP="00FE3AB2">
            <w:pPr>
              <w:rPr>
                <w:rFonts w:ascii="Arial" w:hAnsi="Arial" w:cs="Arial"/>
                <w:bCs/>
                <w:sz w:val="18"/>
                <w:szCs w:val="18"/>
              </w:rPr>
            </w:pPr>
            <w:r w:rsidRPr="00D93798">
              <w:rPr>
                <w:rFonts w:ascii="Arial" w:hAnsi="Arial" w:cs="Arial"/>
                <w:bCs/>
                <w:sz w:val="18"/>
                <w:szCs w:val="18"/>
              </w:rPr>
              <w:t>No negative values.</w:t>
            </w:r>
          </w:p>
        </w:tc>
      </w:tr>
      <w:tr w:rsidR="00FE3AB2" w:rsidRPr="007152C1" w14:paraId="7AB73ED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28D8B2C0" w14:textId="53B31EB0" w:rsidR="00FE3AB2" w:rsidRPr="00D93798" w:rsidRDefault="00FE3AB2" w:rsidP="007152C1">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6B0ECE0" w14:textId="12A568EE" w:rsidR="00FE3AB2" w:rsidRPr="00D93798" w:rsidRDefault="00FE3AB2" w:rsidP="007152C1">
            <w:pPr>
              <w:jc w:val="center"/>
              <w:rPr>
                <w:rFonts w:ascii="Arial" w:hAnsi="Arial" w:cs="Arial"/>
                <w:sz w:val="18"/>
                <w:szCs w:val="18"/>
              </w:rPr>
            </w:pPr>
            <w:r>
              <w:rPr>
                <w:rFonts w:ascii="Arial" w:hAnsi="Arial" w:cs="Arial"/>
                <w:sz w:val="18"/>
                <w:szCs w:val="18"/>
              </w:rPr>
              <w:t>Hos Inpatient Data</w:t>
            </w:r>
          </w:p>
        </w:tc>
        <w:tc>
          <w:tcPr>
            <w:tcW w:w="517" w:type="dxa"/>
            <w:tcBorders>
              <w:top w:val="single" w:sz="6" w:space="0" w:color="auto"/>
              <w:left w:val="single" w:sz="6" w:space="0" w:color="auto"/>
              <w:bottom w:val="single" w:sz="6" w:space="0" w:color="auto"/>
              <w:right w:val="single" w:sz="6" w:space="0" w:color="auto"/>
            </w:tcBorders>
          </w:tcPr>
          <w:p w14:paraId="1C4E336A" w14:textId="19AD3163" w:rsidR="00FE3AB2" w:rsidRPr="00D93798" w:rsidRDefault="00FE3AB2" w:rsidP="007152C1">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34DF5FCC" w14:textId="22549F6E" w:rsidR="00FE3AB2" w:rsidRPr="00D93798" w:rsidRDefault="00FE3AB2">
            <w:pPr>
              <w:jc w:val="center"/>
              <w:rPr>
                <w:rFonts w:ascii="Arial" w:hAnsi="Arial" w:cs="Arial"/>
                <w:sz w:val="18"/>
                <w:szCs w:val="18"/>
              </w:rPr>
            </w:pPr>
            <w:r>
              <w:rPr>
                <w:rFonts w:ascii="Arial" w:hAnsi="Arial" w:cs="Arial"/>
                <w:sz w:val="18"/>
                <w:szCs w:val="18"/>
              </w:rPr>
              <w:t>Case Mix Score</w:t>
            </w:r>
          </w:p>
        </w:tc>
        <w:tc>
          <w:tcPr>
            <w:tcW w:w="1260" w:type="dxa"/>
            <w:tcBorders>
              <w:top w:val="single" w:sz="6" w:space="0" w:color="auto"/>
              <w:left w:val="single" w:sz="6" w:space="0" w:color="auto"/>
              <w:bottom w:val="single" w:sz="6" w:space="0" w:color="auto"/>
              <w:right w:val="single" w:sz="6" w:space="0" w:color="auto"/>
            </w:tcBorders>
          </w:tcPr>
          <w:p w14:paraId="786AE79A" w14:textId="7A86B317" w:rsidR="00FE3AB2" w:rsidRPr="00D93798" w:rsidRDefault="00436363" w:rsidP="007152C1">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843FEA0" w14:textId="587A04E0" w:rsidR="00FE3AB2" w:rsidRPr="00D93798" w:rsidRDefault="00FE3AB2">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238C0762" w14:textId="3C0CD9C6" w:rsidR="00FE3AB2" w:rsidRPr="00D93798" w:rsidRDefault="00FE3AB2" w:rsidP="007152C1">
            <w:pPr>
              <w:jc w:val="center"/>
              <w:rPr>
                <w:rFonts w:ascii="Arial" w:hAnsi="Arial" w:cs="Arial"/>
                <w:sz w:val="18"/>
                <w:szCs w:val="18"/>
              </w:rPr>
            </w:pPr>
            <w:r w:rsidRPr="00D93798">
              <w:rPr>
                <w:rFonts w:ascii="Arial" w:hAnsi="Arial" w:cs="Arial"/>
                <w:sz w:val="18"/>
                <w:szCs w:val="18"/>
              </w:rPr>
              <w:t>#</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C12B5ED" w14:textId="77777777" w:rsidR="00FE3AB2" w:rsidRPr="00D93798" w:rsidRDefault="00FE3AB2" w:rsidP="007152C1">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EF6295F"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Case Mix Index for all cases</w:t>
            </w:r>
          </w:p>
          <w:p w14:paraId="149DCD93" w14:textId="77777777" w:rsidR="00FE3AB2" w:rsidRPr="00D93798" w:rsidRDefault="00FE3AB2" w:rsidP="00FE3AB2">
            <w:pPr>
              <w:rPr>
                <w:rFonts w:ascii="Arial" w:hAnsi="Arial" w:cs="Arial"/>
                <w:bCs/>
                <w:sz w:val="18"/>
                <w:szCs w:val="18"/>
              </w:rPr>
            </w:pPr>
          </w:p>
          <w:p w14:paraId="04E42C64" w14:textId="77777777" w:rsidR="00FE3AB2" w:rsidRPr="00D93798" w:rsidRDefault="00FE3AB2" w:rsidP="00FE3AB2">
            <w:pPr>
              <w:rPr>
                <w:rFonts w:ascii="Arial" w:hAnsi="Arial" w:cs="Arial"/>
                <w:bCs/>
                <w:sz w:val="18"/>
                <w:szCs w:val="18"/>
              </w:rPr>
            </w:pPr>
            <w:r w:rsidRPr="00D93798">
              <w:rPr>
                <w:rFonts w:ascii="Arial" w:hAnsi="Arial" w:cs="Arial"/>
                <w:bCs/>
                <w:sz w:val="18"/>
                <w:szCs w:val="18"/>
              </w:rPr>
              <w:t>Value must be positive, and between ‘.2’ and ‘10’.</w:t>
            </w:r>
          </w:p>
          <w:p w14:paraId="40879D58" w14:textId="77777777" w:rsidR="00FE3AB2" w:rsidRPr="00D93798" w:rsidRDefault="00FE3AB2" w:rsidP="00FE3AB2">
            <w:pPr>
              <w:rPr>
                <w:rFonts w:ascii="Arial" w:hAnsi="Arial" w:cs="Arial"/>
                <w:bCs/>
                <w:sz w:val="18"/>
                <w:szCs w:val="18"/>
              </w:rPr>
            </w:pPr>
          </w:p>
          <w:p w14:paraId="44DA0323" w14:textId="69FC36F9" w:rsidR="00FE3AB2" w:rsidRPr="00D93798" w:rsidRDefault="00FE3AB2" w:rsidP="00FE3AB2">
            <w:pPr>
              <w:rPr>
                <w:rFonts w:ascii="Arial" w:hAnsi="Arial" w:cs="Arial"/>
                <w:bCs/>
                <w:sz w:val="18"/>
                <w:szCs w:val="18"/>
              </w:rPr>
            </w:pPr>
            <w:r w:rsidRPr="00D93798">
              <w:rPr>
                <w:rFonts w:ascii="Arial" w:hAnsi="Arial" w:cs="Arial"/>
                <w:bCs/>
                <w:sz w:val="18"/>
                <w:szCs w:val="18"/>
              </w:rPr>
              <w:t>NOTE: If case mix adjustment is not done for a given hospital type, then a 1 should be used for all case mix scores and situation should be noted</w:t>
            </w:r>
            <w:r>
              <w:rPr>
                <w:rFonts w:ascii="Arial" w:hAnsi="Arial" w:cs="Arial"/>
                <w:bCs/>
                <w:sz w:val="18"/>
                <w:szCs w:val="18"/>
              </w:rPr>
              <w:t xml:space="preserve"> in Front Page tab.</w:t>
            </w:r>
          </w:p>
        </w:tc>
      </w:tr>
      <w:tr w:rsidR="00216BAA" w:rsidRPr="007152C1" w14:paraId="2332FF25"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0A3E3631" w14:textId="77777777" w:rsidR="00216BAA" w:rsidRPr="00D93798" w:rsidDel="00FE3AB2" w:rsidRDefault="00216BAA" w:rsidP="00216BAA">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B19F04" w14:textId="77777777" w:rsidR="00216BAA" w:rsidRDefault="00216BAA" w:rsidP="00216BAA">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2E0C2F" w14:textId="77777777" w:rsidR="00216BAA" w:rsidRPr="00D93798" w:rsidDel="00FE3AB2" w:rsidRDefault="00216BAA" w:rsidP="00216BAA">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963598" w14:textId="77777777" w:rsidR="00216BAA" w:rsidRPr="00D93798" w:rsidDel="00FE3AB2" w:rsidRDefault="00216BAA" w:rsidP="00216BAA">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931636" w14:textId="77777777" w:rsidR="00216BAA" w:rsidRPr="00D93798" w:rsidDel="00FE3AB2" w:rsidRDefault="00216BAA" w:rsidP="00216BAA">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C7D12F" w14:textId="77777777" w:rsidR="00216BAA" w:rsidRDefault="00216BAA" w:rsidP="00216BAA">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B0E16D" w14:textId="77777777" w:rsidR="00216BAA" w:rsidRDefault="00216BAA" w:rsidP="00216BAA">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C4D4E9" w14:textId="77777777" w:rsidR="00216BAA" w:rsidRPr="00D93798" w:rsidRDefault="00216BAA" w:rsidP="00216BAA">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128BEF8" w14:textId="77777777" w:rsidR="00216BAA" w:rsidRPr="00D93798" w:rsidRDefault="00216BAA" w:rsidP="00216BAA">
            <w:pPr>
              <w:rPr>
                <w:rFonts w:ascii="Arial" w:hAnsi="Arial" w:cs="Arial"/>
                <w:spacing w:val="-3"/>
                <w:sz w:val="18"/>
                <w:szCs w:val="18"/>
              </w:rPr>
            </w:pPr>
          </w:p>
        </w:tc>
      </w:tr>
      <w:tr w:rsidR="00216BAA" w:rsidRPr="007152C1" w14:paraId="551F62F4"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62F291E0" w14:textId="0BD5EEAA"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6D2AF200" w14:textId="50F61D89" w:rsidR="00216BAA" w:rsidRPr="00D93798" w:rsidRDefault="00216BAA"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0ED31B37" w14:textId="29319B11" w:rsidR="00216BAA" w:rsidRPr="00D93798" w:rsidRDefault="00216BAA" w:rsidP="00216BAA">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17CB6AF" w14:textId="6F16B490" w:rsidR="00216BAA" w:rsidRPr="00D93798" w:rsidRDefault="00216BAA" w:rsidP="00216BAA">
            <w:pPr>
              <w:jc w:val="center"/>
              <w:rPr>
                <w:rFonts w:ascii="Arial" w:hAnsi="Arial" w:cs="Arial"/>
                <w:sz w:val="18"/>
                <w:szCs w:val="18"/>
              </w:rPr>
            </w:pPr>
            <w:r>
              <w:rPr>
                <w:rFonts w:ascii="Arial" w:hAnsi="Arial" w:cs="Arial"/>
                <w:sz w:val="18"/>
                <w:szCs w:val="18"/>
              </w:rPr>
              <w:t>Hospital OrgID</w:t>
            </w:r>
          </w:p>
        </w:tc>
        <w:tc>
          <w:tcPr>
            <w:tcW w:w="1260" w:type="dxa"/>
            <w:tcBorders>
              <w:top w:val="single" w:sz="6" w:space="0" w:color="auto"/>
              <w:left w:val="single" w:sz="6" w:space="0" w:color="auto"/>
              <w:bottom w:val="single" w:sz="6" w:space="0" w:color="auto"/>
              <w:right w:val="single" w:sz="6" w:space="0" w:color="auto"/>
            </w:tcBorders>
          </w:tcPr>
          <w:p w14:paraId="187934CA" w14:textId="1C916D46"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CEADB5B" w14:textId="5EA225AB"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58EE382E" w14:textId="0D8C0377"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AB2E795" w14:textId="4F6DA6C0"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58DB49" w14:textId="77777777" w:rsidR="00216BAA" w:rsidRPr="00D93798" w:rsidRDefault="00216BAA" w:rsidP="00216BAA">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Hospital List tab</w:t>
            </w:r>
            <w:r w:rsidRPr="00D93798">
              <w:rPr>
                <w:rFonts w:ascii="Arial" w:hAnsi="Arial" w:cs="Arial"/>
                <w:spacing w:val="-3"/>
                <w:sz w:val="18"/>
                <w:szCs w:val="18"/>
              </w:rPr>
              <w:t xml:space="preserve"> for the number associated with each provider</w:t>
            </w:r>
          </w:p>
          <w:p w14:paraId="2AE14A60" w14:textId="77777777" w:rsidR="00216BAA" w:rsidRPr="00D93798" w:rsidRDefault="00216BAA" w:rsidP="00216BAA">
            <w:pPr>
              <w:rPr>
                <w:rFonts w:ascii="Arial" w:hAnsi="Arial" w:cs="Arial"/>
                <w:spacing w:val="-3"/>
                <w:sz w:val="18"/>
                <w:szCs w:val="18"/>
              </w:rPr>
            </w:pPr>
          </w:p>
          <w:p w14:paraId="1C6B22B6" w14:textId="5C4B3532" w:rsidR="00216BAA" w:rsidRPr="00D93798" w:rsidRDefault="00216BAA" w:rsidP="00216BAA">
            <w:pPr>
              <w:rPr>
                <w:rFonts w:ascii="Arial" w:hAnsi="Arial" w:cs="Arial"/>
                <w:bCs/>
                <w:sz w:val="18"/>
                <w:szCs w:val="18"/>
              </w:rPr>
            </w:pPr>
            <w:r w:rsidRPr="00D93798">
              <w:rPr>
                <w:rFonts w:ascii="Arial" w:hAnsi="Arial" w:cs="Arial"/>
                <w:spacing w:val="-3"/>
                <w:sz w:val="18"/>
                <w:szCs w:val="18"/>
              </w:rPr>
              <w:t>Must be a CHIA-issued OrgID.</w:t>
            </w:r>
          </w:p>
        </w:tc>
      </w:tr>
      <w:tr w:rsidR="00216BAA" w:rsidRPr="007152C1" w14:paraId="09C25BC4"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30240561" w14:textId="4C449927"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601A0B5" w14:textId="59978F7C"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70EF32CD" w14:textId="7EB44CC6" w:rsidR="00216BAA" w:rsidRPr="00D93798" w:rsidRDefault="00216BAA" w:rsidP="00216BAA">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07562C84" w14:textId="65F23F70" w:rsidR="00216BAA" w:rsidRPr="00D93798" w:rsidRDefault="00216BAA" w:rsidP="00216BAA">
            <w:pPr>
              <w:jc w:val="center"/>
              <w:rPr>
                <w:rFonts w:ascii="Arial" w:hAnsi="Arial" w:cs="Arial"/>
                <w:sz w:val="18"/>
                <w:szCs w:val="18"/>
              </w:rPr>
            </w:pPr>
            <w:r>
              <w:rPr>
                <w:rFonts w:ascii="Arial" w:hAnsi="Arial" w:cs="Arial"/>
                <w:sz w:val="18"/>
                <w:szCs w:val="18"/>
              </w:rPr>
              <w:t>Hospital Type Code</w:t>
            </w:r>
          </w:p>
        </w:tc>
        <w:tc>
          <w:tcPr>
            <w:tcW w:w="1260" w:type="dxa"/>
            <w:tcBorders>
              <w:top w:val="single" w:sz="6" w:space="0" w:color="auto"/>
              <w:left w:val="single" w:sz="6" w:space="0" w:color="auto"/>
              <w:bottom w:val="single" w:sz="6" w:space="0" w:color="auto"/>
              <w:right w:val="single" w:sz="6" w:space="0" w:color="auto"/>
            </w:tcBorders>
          </w:tcPr>
          <w:p w14:paraId="0FF66C6B" w14:textId="1219C9E9"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BA9FBA4" w14:textId="43C92E1F" w:rsidR="00216BAA" w:rsidRPr="00D93798" w:rsidRDefault="00216BAA" w:rsidP="00216BAA">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4327BA50" w14:textId="17FB46A3"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9032600" w14:textId="1DD199DB"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EFD3D38" w14:textId="77777777" w:rsidR="00216BAA" w:rsidRDefault="00216BAA" w:rsidP="00216BAA">
            <w:pPr>
              <w:rPr>
                <w:rFonts w:ascii="Arial" w:hAnsi="Arial" w:cs="Arial"/>
                <w:sz w:val="18"/>
                <w:szCs w:val="18"/>
              </w:rPr>
            </w:pPr>
            <w:r>
              <w:rPr>
                <w:rFonts w:ascii="Arial" w:hAnsi="Arial" w:cs="Arial"/>
                <w:sz w:val="18"/>
                <w:szCs w:val="18"/>
              </w:rPr>
              <w:t>Hospital Type.</w:t>
            </w:r>
          </w:p>
          <w:p w14:paraId="74226262" w14:textId="77777777" w:rsidR="00216BAA" w:rsidRDefault="00216BAA" w:rsidP="00216BAA">
            <w:pPr>
              <w:rPr>
                <w:rFonts w:ascii="Arial" w:hAnsi="Arial" w:cs="Arial"/>
                <w:sz w:val="18"/>
                <w:szCs w:val="18"/>
              </w:rPr>
            </w:pPr>
          </w:p>
          <w:p w14:paraId="08D5B661" w14:textId="0D083AB5" w:rsidR="00216BAA" w:rsidRPr="00D93798" w:rsidRDefault="00216BAA" w:rsidP="00216BAA">
            <w:pPr>
              <w:rPr>
                <w:rFonts w:ascii="Arial" w:hAnsi="Arial" w:cs="Arial"/>
                <w:bCs/>
                <w:sz w:val="18"/>
                <w:szCs w:val="18"/>
              </w:rPr>
            </w:pPr>
            <w:r>
              <w:rPr>
                <w:rFonts w:ascii="Arial" w:hAnsi="Arial" w:cs="Arial"/>
                <w:sz w:val="18"/>
                <w:szCs w:val="18"/>
              </w:rPr>
              <w:t>See Table E.1 on the Reference Tables tab.</w:t>
            </w:r>
          </w:p>
        </w:tc>
      </w:tr>
      <w:tr w:rsidR="00216BAA" w:rsidRPr="007152C1" w14:paraId="02EE4EF7"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0472E59" w14:textId="0FC0E48F"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0161D544" w14:textId="26687F69"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45C9AC07" w14:textId="760CFB44" w:rsidR="00216BAA" w:rsidRPr="00D93798" w:rsidRDefault="00216BAA" w:rsidP="00216BAA">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01ABD4A8" w14:textId="6B105E2E" w:rsidR="00216BAA" w:rsidRPr="00D93798" w:rsidRDefault="00216BAA" w:rsidP="00216BAA">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3809E448" w14:textId="02639AF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E878149" w14:textId="2A429E9F"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5F77CA46" w14:textId="58CC066A"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7298108" w14:textId="261EE361" w:rsidR="00216BAA" w:rsidRPr="00D93798" w:rsidRDefault="00216BAA" w:rsidP="00216BAA">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F6CB56" w14:textId="77777777" w:rsidR="00216BAA" w:rsidRDefault="00216BAA" w:rsidP="00216BAA">
            <w:pPr>
              <w:rPr>
                <w:rFonts w:ascii="Arial" w:hAnsi="Arial" w:cs="Arial"/>
                <w:bCs/>
                <w:sz w:val="18"/>
                <w:szCs w:val="18"/>
              </w:rPr>
            </w:pPr>
            <w:r>
              <w:rPr>
                <w:rFonts w:ascii="Arial" w:hAnsi="Arial" w:cs="Arial"/>
                <w:bCs/>
                <w:sz w:val="18"/>
                <w:szCs w:val="18"/>
              </w:rPr>
              <w:t>Insurance Category.</w:t>
            </w:r>
          </w:p>
          <w:p w14:paraId="12E36575" w14:textId="77777777" w:rsidR="00216BAA" w:rsidRDefault="00216BAA" w:rsidP="00216BAA">
            <w:pPr>
              <w:rPr>
                <w:rFonts w:ascii="Arial" w:hAnsi="Arial" w:cs="Arial"/>
                <w:bCs/>
                <w:sz w:val="18"/>
                <w:szCs w:val="18"/>
              </w:rPr>
            </w:pPr>
          </w:p>
          <w:p w14:paraId="5E47C8C6" w14:textId="5C7F347B" w:rsidR="00216BAA" w:rsidRPr="00D93798" w:rsidRDefault="00216BAA" w:rsidP="00216BAA">
            <w:pPr>
              <w:rPr>
                <w:rFonts w:ascii="Arial" w:hAnsi="Arial" w:cs="Arial"/>
                <w:bCs/>
                <w:sz w:val="18"/>
                <w:szCs w:val="18"/>
              </w:rPr>
            </w:pPr>
            <w:r>
              <w:rPr>
                <w:rFonts w:ascii="Arial" w:hAnsi="Arial" w:cs="Arial"/>
                <w:bCs/>
                <w:sz w:val="18"/>
                <w:szCs w:val="18"/>
              </w:rPr>
              <w:t>See Table E.2 on the Reference Tables tab.</w:t>
            </w:r>
          </w:p>
        </w:tc>
      </w:tr>
      <w:tr w:rsidR="00216BAA" w:rsidRPr="007152C1" w14:paraId="630B4DBC"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B5816F3" w14:textId="170D330B"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13F1A004" w14:textId="11ECA02F"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4D752B1D" w14:textId="706BF719" w:rsidR="00216BAA" w:rsidRPr="00D93798" w:rsidRDefault="00216BAA" w:rsidP="00216BAA">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6818BC47" w14:textId="78F36C92" w:rsidR="00216BAA" w:rsidRPr="00D93798" w:rsidRDefault="00216BAA" w:rsidP="00216BAA">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17FBE32F" w14:textId="423C5C08"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547516D" w14:textId="6368C346" w:rsidR="00216BAA" w:rsidRPr="00D93798" w:rsidRDefault="00216BAA" w:rsidP="00216BAA">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0C0B83CA" w14:textId="451831CA"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C82FAC9" w14:textId="4C3AF8A9"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9BAE0FA" w14:textId="77777777" w:rsidR="00216BAA" w:rsidRDefault="00216BAA" w:rsidP="00216BAA">
            <w:pPr>
              <w:rPr>
                <w:rFonts w:ascii="Arial" w:hAnsi="Arial" w:cs="Arial"/>
                <w:bCs/>
                <w:sz w:val="18"/>
                <w:szCs w:val="18"/>
              </w:rPr>
            </w:pPr>
            <w:r>
              <w:rPr>
                <w:rFonts w:ascii="Arial" w:hAnsi="Arial" w:cs="Arial"/>
                <w:bCs/>
                <w:sz w:val="18"/>
                <w:szCs w:val="18"/>
              </w:rPr>
              <w:t>Product Type.</w:t>
            </w:r>
          </w:p>
          <w:p w14:paraId="3155A665" w14:textId="77777777" w:rsidR="00216BAA" w:rsidRDefault="00216BAA" w:rsidP="00216BAA">
            <w:pPr>
              <w:rPr>
                <w:rFonts w:ascii="Arial" w:hAnsi="Arial" w:cs="Arial"/>
                <w:bCs/>
                <w:sz w:val="18"/>
                <w:szCs w:val="18"/>
              </w:rPr>
            </w:pPr>
          </w:p>
          <w:p w14:paraId="17DBB715" w14:textId="0DADC47B" w:rsidR="00216BAA" w:rsidRPr="00D93798" w:rsidRDefault="00216BAA" w:rsidP="00216BAA">
            <w:pPr>
              <w:rPr>
                <w:rFonts w:ascii="Arial" w:hAnsi="Arial" w:cs="Arial"/>
                <w:bCs/>
                <w:sz w:val="18"/>
                <w:szCs w:val="18"/>
              </w:rPr>
            </w:pPr>
            <w:r>
              <w:rPr>
                <w:rFonts w:ascii="Arial" w:hAnsi="Arial" w:cs="Arial"/>
                <w:bCs/>
                <w:sz w:val="18"/>
                <w:szCs w:val="18"/>
              </w:rPr>
              <w:t>See Table E.3 on the Reference Tables tab.</w:t>
            </w:r>
          </w:p>
        </w:tc>
      </w:tr>
      <w:tr w:rsidR="00216BAA" w:rsidRPr="007152C1" w14:paraId="0FFBB916" w14:textId="77777777" w:rsidTr="4908C82E">
        <w:trPr>
          <w:trHeight w:val="462"/>
        </w:trPr>
        <w:tc>
          <w:tcPr>
            <w:tcW w:w="625" w:type="dxa"/>
            <w:tcBorders>
              <w:top w:val="single" w:sz="6" w:space="0" w:color="auto"/>
              <w:left w:val="single" w:sz="4" w:space="0" w:color="auto"/>
              <w:bottom w:val="single" w:sz="6" w:space="0" w:color="auto"/>
              <w:right w:val="single" w:sz="6" w:space="0" w:color="auto"/>
            </w:tcBorders>
          </w:tcPr>
          <w:p w14:paraId="43B20C79" w14:textId="5E57625F"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55169D34" w14:textId="3DC9F807"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20955C5E" w14:textId="7ACE74B1" w:rsidR="00216BAA" w:rsidRPr="00D93798" w:rsidRDefault="00677E38" w:rsidP="00216BAA">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70E35360" w14:textId="2F6FE43F" w:rsidR="00216BAA" w:rsidRPr="00D93798" w:rsidRDefault="00216BAA" w:rsidP="00216BAA">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5C026EF4" w14:textId="20A36D23"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46761D4"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6D20DE06" w14:textId="7D01BF37" w:rsidR="00216BAA" w:rsidRPr="00D93798" w:rsidRDefault="00216BAA" w:rsidP="00216BAA">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1450D9BB" w14:textId="33554651" w:rsidR="00216BAA" w:rsidRPr="00D93798" w:rsidRDefault="00216BAA" w:rsidP="00216BAA">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CBD94A0" w14:textId="25E4DB2B" w:rsidR="00216BAA" w:rsidRPr="00D93798" w:rsidRDefault="00216BAA">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216BAA" w:rsidRPr="007152C1" w14:paraId="22250891"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46F83751" w14:textId="57B8D404"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8093552" w14:textId="083CECED"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3B6EEC5A" w14:textId="5D5FAB8D" w:rsidR="00216BAA" w:rsidRPr="00D93798" w:rsidRDefault="00677E38" w:rsidP="00216BAA">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7E3FE9A5" w14:textId="6FA39EEC" w:rsidR="00216BAA" w:rsidRPr="00D93798" w:rsidRDefault="00216BAA" w:rsidP="00216BAA">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74F364AF" w14:textId="389E941C"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86A969E" w14:textId="7DDBC972" w:rsidR="00216BAA" w:rsidRPr="00D93798" w:rsidRDefault="00216BAA" w:rsidP="00216BAA">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C210DC7" w14:textId="73CC221B"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17DDA4E"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1FE7CB45" w14:textId="77777777" w:rsidR="00216BAA" w:rsidRPr="00D93798" w:rsidRDefault="00216BAA" w:rsidP="00216BAA">
            <w:pPr>
              <w:rPr>
                <w:rFonts w:ascii="Arial" w:hAnsi="Arial" w:cs="Arial"/>
                <w:bCs/>
                <w:sz w:val="18"/>
                <w:szCs w:val="18"/>
              </w:rPr>
            </w:pPr>
            <w:r w:rsidRPr="00D93798">
              <w:rPr>
                <w:rFonts w:ascii="Arial" w:hAnsi="Arial" w:cs="Arial"/>
                <w:bCs/>
                <w:sz w:val="18"/>
                <w:szCs w:val="18"/>
              </w:rPr>
              <w:t>Payment Derived Service Multiplier Indicator.</w:t>
            </w:r>
          </w:p>
          <w:p w14:paraId="1A6DDE00" w14:textId="77777777" w:rsidR="00216BAA" w:rsidRPr="00D93798" w:rsidRDefault="00216BAA" w:rsidP="00216BAA">
            <w:pPr>
              <w:rPr>
                <w:rFonts w:ascii="Arial" w:hAnsi="Arial" w:cs="Arial"/>
                <w:bCs/>
                <w:sz w:val="18"/>
                <w:szCs w:val="18"/>
              </w:rPr>
            </w:pPr>
          </w:p>
          <w:p w14:paraId="5081D2DB" w14:textId="77777777" w:rsidR="00216BAA" w:rsidRDefault="00216BAA" w:rsidP="00216BAA">
            <w:pPr>
              <w:rPr>
                <w:rFonts w:ascii="Arial" w:hAnsi="Arial" w:cs="Arial"/>
                <w:bCs/>
                <w:sz w:val="18"/>
                <w:szCs w:val="18"/>
              </w:rPr>
            </w:pPr>
            <w:r w:rsidRPr="00D93798">
              <w:rPr>
                <w:rFonts w:ascii="Arial" w:hAnsi="Arial" w:cs="Arial"/>
                <w:bCs/>
                <w:sz w:val="18"/>
                <w:szCs w:val="18"/>
              </w:rPr>
              <w:t xml:space="preserve">For every </w:t>
            </w:r>
            <w:r>
              <w:rPr>
                <w:rFonts w:ascii="Arial" w:hAnsi="Arial" w:cs="Arial"/>
                <w:bCs/>
                <w:sz w:val="18"/>
                <w:szCs w:val="18"/>
              </w:rPr>
              <w:t>Hospital/Hospital Type/Insurance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5FE66F89" w14:textId="77777777" w:rsidR="00216BAA" w:rsidRDefault="00216BAA" w:rsidP="00216BAA">
            <w:pPr>
              <w:rPr>
                <w:rFonts w:ascii="Arial" w:hAnsi="Arial" w:cs="Arial"/>
                <w:bCs/>
                <w:sz w:val="18"/>
                <w:szCs w:val="18"/>
              </w:rPr>
            </w:pPr>
          </w:p>
          <w:p w14:paraId="642CB4E8" w14:textId="1E47CECD" w:rsidR="00216BAA" w:rsidRPr="00D93798" w:rsidRDefault="00216BAA" w:rsidP="00216BAA">
            <w:pPr>
              <w:rPr>
                <w:rFonts w:ascii="Arial" w:hAnsi="Arial" w:cs="Arial"/>
                <w:bCs/>
                <w:sz w:val="18"/>
                <w:szCs w:val="18"/>
              </w:rPr>
            </w:pPr>
            <w:r>
              <w:rPr>
                <w:rFonts w:ascii="Arial" w:hAnsi="Arial" w:cs="Arial"/>
                <w:bCs/>
                <w:sz w:val="18"/>
                <w:szCs w:val="18"/>
              </w:rPr>
              <w:t>See Table E.4 on the Reference Tables tab.</w:t>
            </w:r>
          </w:p>
        </w:tc>
      </w:tr>
      <w:tr w:rsidR="00216BAA" w:rsidRPr="007152C1" w14:paraId="6AEFFFB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1C665D1" w14:textId="43D556A1" w:rsidR="00216BAA" w:rsidRPr="00D93798" w:rsidRDefault="00216BAA" w:rsidP="00216BAA">
            <w:pPr>
              <w:jc w:val="center"/>
              <w:rPr>
                <w:rFonts w:ascii="Arial" w:hAnsi="Arial" w:cs="Arial"/>
                <w:sz w:val="18"/>
                <w:szCs w:val="18"/>
              </w:rPr>
            </w:pPr>
            <w:r>
              <w:rPr>
                <w:rFonts w:ascii="Arial" w:hAnsi="Arial" w:cs="Arial"/>
                <w:sz w:val="18"/>
                <w:szCs w:val="18"/>
              </w:rPr>
              <w:lastRenderedPageBreak/>
              <w:t>HOS</w:t>
            </w:r>
          </w:p>
        </w:tc>
        <w:tc>
          <w:tcPr>
            <w:tcW w:w="1103" w:type="dxa"/>
            <w:tcBorders>
              <w:top w:val="single" w:sz="6" w:space="0" w:color="auto"/>
              <w:left w:val="single" w:sz="6" w:space="0" w:color="auto"/>
              <w:bottom w:val="single" w:sz="6" w:space="0" w:color="auto"/>
              <w:right w:val="single" w:sz="6" w:space="0" w:color="auto"/>
            </w:tcBorders>
          </w:tcPr>
          <w:p w14:paraId="70EED309" w14:textId="245A0569"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333CACD0" w14:textId="3A4526CD" w:rsidR="00216BAA" w:rsidRPr="00D93798" w:rsidRDefault="00677E38" w:rsidP="00216BAA">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59CDF3BE" w14:textId="612CE57D" w:rsidR="00216BAA" w:rsidRPr="00D93798" w:rsidRDefault="00216BAA" w:rsidP="00216BAA">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4D0CA1F4" w14:textId="36A4B91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78ADF6FD" w14:textId="74401CED" w:rsidR="00216BAA" w:rsidRPr="00D93798" w:rsidRDefault="00216BAA" w:rsidP="00216BAA">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44E93096" w14:textId="5AA29925"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78392D8" w14:textId="77777777"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07B8420" w14:textId="77777777" w:rsidR="00216BAA" w:rsidRPr="00D93798" w:rsidRDefault="00216BAA" w:rsidP="00216BAA">
            <w:pPr>
              <w:rPr>
                <w:rFonts w:ascii="Arial" w:hAnsi="Arial" w:cs="Arial"/>
                <w:bCs/>
                <w:sz w:val="18"/>
                <w:szCs w:val="18"/>
              </w:rPr>
            </w:pPr>
            <w:r w:rsidRPr="00D93798">
              <w:rPr>
                <w:rFonts w:ascii="Arial" w:hAnsi="Arial" w:cs="Arial"/>
                <w:bCs/>
                <w:sz w:val="18"/>
                <w:szCs w:val="18"/>
              </w:rPr>
              <w:t>Payment Derived Service Multiplier Indicator.</w:t>
            </w:r>
          </w:p>
          <w:p w14:paraId="0D889D97" w14:textId="77777777" w:rsidR="00216BAA" w:rsidRPr="00D93798" w:rsidRDefault="00216BAA" w:rsidP="00216BAA">
            <w:pPr>
              <w:rPr>
                <w:rFonts w:ascii="Arial" w:hAnsi="Arial" w:cs="Arial"/>
                <w:bCs/>
                <w:sz w:val="18"/>
                <w:szCs w:val="18"/>
              </w:rPr>
            </w:pPr>
          </w:p>
          <w:p w14:paraId="4D1254CA" w14:textId="77777777" w:rsidR="00216BAA" w:rsidRDefault="00216BAA" w:rsidP="00216BAA">
            <w:pPr>
              <w:rPr>
                <w:rFonts w:ascii="Arial" w:hAnsi="Arial" w:cs="Arial"/>
                <w:bCs/>
                <w:sz w:val="18"/>
                <w:szCs w:val="18"/>
              </w:rPr>
            </w:pPr>
            <w:r w:rsidRPr="00D93798">
              <w:rPr>
                <w:rFonts w:ascii="Arial" w:hAnsi="Arial" w:cs="Arial"/>
                <w:bCs/>
                <w:sz w:val="18"/>
                <w:szCs w:val="18"/>
              </w:rPr>
              <w:t xml:space="preserve">For every </w:t>
            </w:r>
            <w:r>
              <w:rPr>
                <w:rFonts w:ascii="Arial" w:hAnsi="Arial" w:cs="Arial"/>
                <w:bCs/>
                <w:sz w:val="18"/>
                <w:szCs w:val="18"/>
              </w:rPr>
              <w:t>Hospital/Hospital Type/Insurance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37B1082B" w14:textId="77777777" w:rsidR="00157BB2" w:rsidRDefault="00157BB2" w:rsidP="00216BAA">
            <w:pPr>
              <w:rPr>
                <w:rFonts w:ascii="Arial" w:hAnsi="Arial" w:cs="Arial"/>
                <w:bCs/>
                <w:sz w:val="18"/>
                <w:szCs w:val="18"/>
              </w:rPr>
            </w:pPr>
          </w:p>
          <w:p w14:paraId="23807789" w14:textId="38346225" w:rsidR="00157BB2" w:rsidRDefault="05A788CE" w:rsidP="4908C82E">
            <w:pPr>
              <w:rPr>
                <w:rFonts w:ascii="Arial" w:hAnsi="Arial" w:cs="Arial"/>
                <w:sz w:val="18"/>
                <w:szCs w:val="18"/>
              </w:rPr>
            </w:pPr>
            <w:r w:rsidRPr="4908C82E">
              <w:rPr>
                <w:rFonts w:ascii="Arial" w:hAnsi="Arial" w:cs="Arial"/>
                <w:sz w:val="18"/>
                <w:szCs w:val="18"/>
              </w:rPr>
              <w:t xml:space="preserve">In instances where there is no claims data reported in a given year, </w:t>
            </w:r>
            <w:r w:rsidR="07CA5B0A" w:rsidRPr="4908C82E">
              <w:rPr>
                <w:rFonts w:ascii="Arial" w:hAnsi="Arial" w:cs="Arial"/>
                <w:sz w:val="18"/>
                <w:szCs w:val="18"/>
              </w:rPr>
              <w:t xml:space="preserve">do not </w:t>
            </w:r>
            <w:r w:rsidRPr="4908C82E">
              <w:rPr>
                <w:rFonts w:ascii="Arial" w:hAnsi="Arial" w:cs="Arial"/>
                <w:sz w:val="18"/>
                <w:szCs w:val="18"/>
              </w:rPr>
              <w:t>report</w:t>
            </w:r>
            <w:r w:rsidR="0824B753" w:rsidRPr="4908C82E">
              <w:rPr>
                <w:rFonts w:ascii="Arial" w:hAnsi="Arial" w:cs="Arial"/>
                <w:sz w:val="18"/>
                <w:szCs w:val="18"/>
              </w:rPr>
              <w:t xml:space="preserve"> a</w:t>
            </w:r>
            <w:r w:rsidRPr="4908C82E">
              <w:rPr>
                <w:rFonts w:ascii="Arial" w:hAnsi="Arial" w:cs="Arial"/>
                <w:sz w:val="18"/>
                <w:szCs w:val="18"/>
              </w:rPr>
              <w:t xml:space="preserve"> multiplier value</w:t>
            </w:r>
            <w:r w:rsidR="11A1F15C" w:rsidRPr="4908C82E">
              <w:rPr>
                <w:rFonts w:ascii="Arial" w:hAnsi="Arial" w:cs="Arial"/>
                <w:sz w:val="18"/>
                <w:szCs w:val="18"/>
              </w:rPr>
              <w:t>.</w:t>
            </w:r>
          </w:p>
          <w:p w14:paraId="534BA64B" w14:textId="77777777" w:rsidR="00216BAA" w:rsidRDefault="00216BAA" w:rsidP="00216BAA">
            <w:pPr>
              <w:rPr>
                <w:rFonts w:ascii="Arial" w:hAnsi="Arial" w:cs="Arial"/>
                <w:bCs/>
                <w:sz w:val="18"/>
                <w:szCs w:val="18"/>
              </w:rPr>
            </w:pPr>
          </w:p>
          <w:p w14:paraId="1DA55664" w14:textId="0B34C1DC" w:rsidR="00216BAA" w:rsidRPr="00D93798" w:rsidRDefault="00216BAA" w:rsidP="00216BAA">
            <w:pPr>
              <w:rPr>
                <w:rFonts w:ascii="Arial" w:hAnsi="Arial" w:cs="Arial"/>
                <w:bCs/>
                <w:sz w:val="18"/>
                <w:szCs w:val="18"/>
              </w:rPr>
            </w:pPr>
            <w:r w:rsidRPr="00D93798">
              <w:rPr>
                <w:rFonts w:ascii="Arial" w:hAnsi="Arial" w:cs="Arial"/>
                <w:bCs/>
                <w:sz w:val="18"/>
                <w:szCs w:val="18"/>
              </w:rPr>
              <w:t>Multiplier value must fall in range: ‘0.1’-‘20’</w:t>
            </w:r>
          </w:p>
        </w:tc>
      </w:tr>
      <w:tr w:rsidR="00216BAA" w:rsidRPr="007152C1" w14:paraId="3F004048"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1431CA9A" w14:textId="01FDDA3C" w:rsidR="00216BAA" w:rsidRPr="00D93798" w:rsidRDefault="00216BAA" w:rsidP="00216BAA">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769A4488" w14:textId="2C8E414C" w:rsidR="00216BAA" w:rsidRPr="00D93798" w:rsidRDefault="001E62E9" w:rsidP="00216BAA">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5536358F" w14:textId="09EE5381" w:rsidR="00216BAA" w:rsidRPr="00D93798" w:rsidRDefault="00677E38" w:rsidP="00216BAA">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tcPr>
          <w:p w14:paraId="0612D0F6" w14:textId="4A9AA4F1" w:rsidR="00216BAA" w:rsidRPr="00D93798" w:rsidRDefault="00216BAA" w:rsidP="00216BAA">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1AE72B8F" w14:textId="685D3C55" w:rsidR="00216BAA" w:rsidRPr="00D93798" w:rsidRDefault="00436363" w:rsidP="00216BAA">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17EDDA6" w14:textId="58E07815" w:rsidR="00216BAA" w:rsidRPr="00D93798" w:rsidRDefault="00216BAA" w:rsidP="00216BAA">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B09F4D5" w14:textId="366BA302" w:rsidR="00216BAA" w:rsidRPr="00D93798" w:rsidRDefault="00216BAA" w:rsidP="00216BAA">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01554E3" w14:textId="5A595459" w:rsidR="00216BAA" w:rsidRPr="00D93798" w:rsidRDefault="00216BAA" w:rsidP="00216BAA">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03AA03C" w14:textId="1DF999C9" w:rsidR="00216BAA" w:rsidRPr="00D93798" w:rsidRDefault="00216BAA" w:rsidP="00216BAA">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Hospital/Hospital Type/Insurance Category/Product Type/Service</w:t>
            </w:r>
            <w:r w:rsidRPr="00D93798">
              <w:rPr>
                <w:rFonts w:ascii="Arial" w:hAnsi="Arial" w:cs="Arial"/>
                <w:bCs/>
                <w:sz w:val="18"/>
                <w:szCs w:val="18"/>
              </w:rPr>
              <w:t xml:space="preserve"> combination.</w:t>
            </w:r>
          </w:p>
          <w:p w14:paraId="24220773" w14:textId="77777777" w:rsidR="00216BAA" w:rsidRPr="00D93798" w:rsidRDefault="00216BAA" w:rsidP="00216BAA">
            <w:pPr>
              <w:rPr>
                <w:rFonts w:ascii="Arial" w:hAnsi="Arial" w:cs="Arial"/>
                <w:bCs/>
                <w:sz w:val="18"/>
                <w:szCs w:val="18"/>
              </w:rPr>
            </w:pPr>
          </w:p>
          <w:p w14:paraId="4070B5EE" w14:textId="0EF092AC" w:rsidR="00216BAA" w:rsidRPr="00D93798" w:rsidRDefault="00216BAA" w:rsidP="00216BAA">
            <w:pPr>
              <w:rPr>
                <w:rFonts w:ascii="Arial" w:hAnsi="Arial" w:cs="Arial"/>
                <w:bCs/>
                <w:sz w:val="18"/>
                <w:szCs w:val="18"/>
              </w:rPr>
            </w:pPr>
            <w:r w:rsidRPr="00D93798">
              <w:rPr>
                <w:rFonts w:ascii="Arial" w:hAnsi="Arial" w:cs="Arial"/>
                <w:bCs/>
                <w:sz w:val="18"/>
                <w:szCs w:val="18"/>
              </w:rPr>
              <w:t>No negative values.</w:t>
            </w:r>
          </w:p>
        </w:tc>
      </w:tr>
      <w:tr w:rsidR="00D424D5" w:rsidRPr="007152C1" w14:paraId="2E799261"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7AED550" w14:textId="3E378A54" w:rsidR="00D424D5" w:rsidRPr="00D93798" w:rsidRDefault="00D424D5" w:rsidP="00D424D5">
            <w:pPr>
              <w:jc w:val="center"/>
              <w:rPr>
                <w:rFonts w:ascii="Arial" w:hAnsi="Arial" w:cs="Arial"/>
                <w:sz w:val="18"/>
                <w:szCs w:val="18"/>
              </w:rPr>
            </w:pPr>
            <w:r>
              <w:rPr>
                <w:rFonts w:ascii="Arial" w:hAnsi="Arial" w:cs="Arial"/>
                <w:sz w:val="18"/>
                <w:szCs w:val="18"/>
              </w:rPr>
              <w:t>HOS</w:t>
            </w:r>
          </w:p>
        </w:tc>
        <w:tc>
          <w:tcPr>
            <w:tcW w:w="1103" w:type="dxa"/>
            <w:tcBorders>
              <w:top w:val="single" w:sz="6" w:space="0" w:color="auto"/>
              <w:left w:val="single" w:sz="6" w:space="0" w:color="auto"/>
              <w:bottom w:val="single" w:sz="6" w:space="0" w:color="auto"/>
              <w:right w:val="single" w:sz="6" w:space="0" w:color="auto"/>
            </w:tcBorders>
          </w:tcPr>
          <w:p w14:paraId="29207D74" w14:textId="686BC444" w:rsidR="00D424D5" w:rsidRPr="00D93798" w:rsidRDefault="001E62E9" w:rsidP="00D424D5">
            <w:pPr>
              <w:jc w:val="center"/>
              <w:rPr>
                <w:rFonts w:ascii="Arial" w:hAnsi="Arial" w:cs="Arial"/>
                <w:sz w:val="18"/>
                <w:szCs w:val="18"/>
              </w:rPr>
            </w:pPr>
            <w:r>
              <w:rPr>
                <w:rFonts w:ascii="Arial" w:hAnsi="Arial" w:cs="Arial"/>
                <w:sz w:val="18"/>
                <w:szCs w:val="18"/>
              </w:rPr>
              <w:t>Hos Outpatient Data</w:t>
            </w:r>
          </w:p>
        </w:tc>
        <w:tc>
          <w:tcPr>
            <w:tcW w:w="517" w:type="dxa"/>
            <w:tcBorders>
              <w:top w:val="single" w:sz="6" w:space="0" w:color="auto"/>
              <w:left w:val="single" w:sz="6" w:space="0" w:color="auto"/>
              <w:bottom w:val="single" w:sz="6" w:space="0" w:color="auto"/>
              <w:right w:val="single" w:sz="6" w:space="0" w:color="auto"/>
            </w:tcBorders>
          </w:tcPr>
          <w:p w14:paraId="593A18A8" w14:textId="170624DA" w:rsidR="00D424D5" w:rsidRPr="00D93798" w:rsidRDefault="00677E38" w:rsidP="00D424D5">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77767FD6" w14:textId="0BC2EFBB" w:rsidR="00D424D5" w:rsidRPr="00D93798" w:rsidRDefault="00D424D5" w:rsidP="00D424D5">
            <w:pPr>
              <w:jc w:val="center"/>
              <w:rPr>
                <w:rFonts w:ascii="Arial" w:hAnsi="Arial" w:cs="Arial"/>
                <w:sz w:val="18"/>
                <w:szCs w:val="18"/>
              </w:rPr>
            </w:pPr>
            <w:r>
              <w:rPr>
                <w:rFonts w:ascii="Arial" w:hAnsi="Arial" w:cs="Arial"/>
                <w:sz w:val="18"/>
                <w:szCs w:val="18"/>
              </w:rPr>
              <w:t>Non Claims Payments</w:t>
            </w:r>
          </w:p>
        </w:tc>
        <w:tc>
          <w:tcPr>
            <w:tcW w:w="1260" w:type="dxa"/>
            <w:tcBorders>
              <w:top w:val="single" w:sz="6" w:space="0" w:color="auto"/>
              <w:left w:val="single" w:sz="6" w:space="0" w:color="auto"/>
              <w:bottom w:val="single" w:sz="6" w:space="0" w:color="auto"/>
              <w:right w:val="single" w:sz="6" w:space="0" w:color="auto"/>
            </w:tcBorders>
          </w:tcPr>
          <w:p w14:paraId="18132690" w14:textId="5BE083AF" w:rsidR="00D424D5" w:rsidRPr="00D93798" w:rsidRDefault="00436363" w:rsidP="00D424D5">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1BB127E" w14:textId="7EEC46A3" w:rsidR="00D424D5" w:rsidRPr="00D93798" w:rsidRDefault="00D424D5" w:rsidP="00D424D5">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70C13DBE" w14:textId="495ED293" w:rsidR="00D424D5" w:rsidRPr="00D93798" w:rsidRDefault="00D424D5" w:rsidP="00D424D5">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43AAFB3" w14:textId="55C138E1" w:rsidR="00D424D5" w:rsidRPr="00D93798" w:rsidRDefault="00D424D5" w:rsidP="00D424D5">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618E6305" w14:textId="511688CA" w:rsidR="00D424D5" w:rsidRPr="00D93798" w:rsidRDefault="00D424D5" w:rsidP="00D424D5">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Hospital/Hospital Type/Insurance Category/Product Type/Service</w:t>
            </w:r>
            <w:r w:rsidRPr="00D93798">
              <w:rPr>
                <w:rFonts w:ascii="Arial" w:hAnsi="Arial" w:cs="Arial"/>
                <w:bCs/>
                <w:sz w:val="18"/>
                <w:szCs w:val="18"/>
              </w:rPr>
              <w:t xml:space="preserve"> combination.</w:t>
            </w:r>
          </w:p>
        </w:tc>
      </w:tr>
      <w:tr w:rsidR="00D424D5" w:rsidRPr="007152C1" w14:paraId="0076C1EF"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08F16BBB" w14:textId="77777777" w:rsidR="00D424D5" w:rsidRPr="00D93798" w:rsidRDefault="00D424D5" w:rsidP="00D424D5">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903BD0" w14:textId="77777777" w:rsidR="00D424D5" w:rsidRPr="00D93798" w:rsidRDefault="00D424D5" w:rsidP="00D424D5">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BEAC44" w14:textId="5E799684" w:rsidR="00D424D5" w:rsidRPr="00D93798" w:rsidRDefault="00D424D5" w:rsidP="00D424D5">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3A5957" w14:textId="77777777" w:rsidR="00D424D5" w:rsidRPr="00D93798" w:rsidRDefault="00D424D5" w:rsidP="00D424D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824363" w14:textId="77777777" w:rsidR="00D424D5" w:rsidRPr="00D93798" w:rsidRDefault="00D424D5" w:rsidP="00D424D5">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5FEC35" w14:textId="77777777" w:rsidR="00D424D5" w:rsidRPr="00D93798" w:rsidRDefault="00D424D5" w:rsidP="00D424D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F56C6C" w14:textId="77777777" w:rsidR="00D424D5" w:rsidRPr="00D93798" w:rsidRDefault="00D424D5" w:rsidP="00D424D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5515A4" w14:textId="77777777" w:rsidR="00D424D5" w:rsidRPr="00D93798" w:rsidRDefault="00D424D5" w:rsidP="00D424D5">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22C16E2" w14:textId="77777777" w:rsidR="00D424D5" w:rsidRPr="00D93798" w:rsidRDefault="00D424D5" w:rsidP="00D424D5">
            <w:pPr>
              <w:rPr>
                <w:rFonts w:ascii="Arial" w:hAnsi="Arial" w:cs="Arial"/>
                <w:bCs/>
                <w:sz w:val="18"/>
                <w:szCs w:val="18"/>
              </w:rPr>
            </w:pPr>
          </w:p>
        </w:tc>
      </w:tr>
      <w:tr w:rsidR="007E6B2C" w:rsidRPr="007152C1" w14:paraId="2D7F892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66FA9B87" w14:textId="688A8B57"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79CA155E" w14:textId="1F8AC1A5"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372D829B" w14:textId="26108045" w:rsidR="007E6B2C" w:rsidRPr="00D93798" w:rsidRDefault="007E6B2C" w:rsidP="007E6B2C">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95136B4" w14:textId="62158D9D" w:rsidR="007E6B2C" w:rsidRPr="00D93798" w:rsidRDefault="007E6B2C" w:rsidP="007E6B2C">
            <w:pPr>
              <w:jc w:val="center"/>
              <w:rPr>
                <w:rFonts w:ascii="Arial" w:hAnsi="Arial" w:cs="Arial"/>
                <w:sz w:val="18"/>
                <w:szCs w:val="18"/>
              </w:rPr>
            </w:pPr>
            <w:r>
              <w:rPr>
                <w:rFonts w:ascii="Arial" w:hAnsi="Arial" w:cs="Arial"/>
                <w:sz w:val="18"/>
                <w:szCs w:val="18"/>
              </w:rPr>
              <w:t>Provider Group OrgID</w:t>
            </w:r>
          </w:p>
        </w:tc>
        <w:tc>
          <w:tcPr>
            <w:tcW w:w="1260" w:type="dxa"/>
            <w:tcBorders>
              <w:top w:val="single" w:sz="6" w:space="0" w:color="auto"/>
              <w:left w:val="single" w:sz="6" w:space="0" w:color="auto"/>
              <w:bottom w:val="single" w:sz="6" w:space="0" w:color="auto"/>
              <w:right w:val="single" w:sz="6" w:space="0" w:color="auto"/>
            </w:tcBorders>
          </w:tcPr>
          <w:p w14:paraId="7BAC7B6B" w14:textId="4F28C59D"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307A485" w14:textId="7E02E886"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73F447A" w14:textId="509F60C7"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288ABAFB" w14:textId="0D509520"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1D4AA7D" w14:textId="13CB220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769D4650" w14:textId="77777777" w:rsidR="007E6B2C" w:rsidRPr="00D93798" w:rsidRDefault="007E6B2C" w:rsidP="007E6B2C">
            <w:pPr>
              <w:rPr>
                <w:rFonts w:ascii="Arial" w:hAnsi="Arial" w:cs="Arial"/>
                <w:spacing w:val="-3"/>
                <w:sz w:val="18"/>
                <w:szCs w:val="18"/>
              </w:rPr>
            </w:pPr>
          </w:p>
          <w:p w14:paraId="034C9F15" w14:textId="1FB494C6" w:rsidR="007E6B2C" w:rsidRPr="00D93798" w:rsidRDefault="007E6B2C" w:rsidP="00AA7237">
            <w:pPr>
              <w:rPr>
                <w:rFonts w:ascii="Arial" w:hAnsi="Arial" w:cs="Arial"/>
                <w:bCs/>
                <w:sz w:val="18"/>
                <w:szCs w:val="18"/>
              </w:rPr>
            </w:pPr>
            <w:r w:rsidRPr="00D93798">
              <w:rPr>
                <w:rFonts w:ascii="Arial" w:hAnsi="Arial" w:cs="Arial"/>
                <w:spacing w:val="-3"/>
                <w:sz w:val="18"/>
                <w:szCs w:val="18"/>
              </w:rPr>
              <w:t>Must be a CHIA-issued OrgID.</w:t>
            </w:r>
          </w:p>
        </w:tc>
      </w:tr>
      <w:tr w:rsidR="007E6B2C" w:rsidRPr="007152C1" w14:paraId="329136AD"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10BD4A35" w14:textId="6DBC38B8"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71A39494" w14:textId="2DA703F0"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48D47DBD" w14:textId="68D8E9A8" w:rsidR="007E6B2C" w:rsidRPr="00D93798" w:rsidRDefault="007E6B2C" w:rsidP="007E6B2C">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tcPr>
          <w:p w14:paraId="67ADC1D1" w14:textId="6488CF89" w:rsidR="007E6B2C" w:rsidRPr="00D93798" w:rsidRDefault="007E6B2C" w:rsidP="007E6B2C">
            <w:pPr>
              <w:jc w:val="center"/>
              <w:rPr>
                <w:rFonts w:ascii="Arial" w:hAnsi="Arial" w:cs="Arial"/>
                <w:sz w:val="18"/>
                <w:szCs w:val="18"/>
              </w:rPr>
            </w:pPr>
            <w:r>
              <w:rPr>
                <w:rFonts w:ascii="Arial" w:hAnsi="Arial" w:cs="Arial"/>
                <w:sz w:val="18"/>
                <w:szCs w:val="18"/>
              </w:rPr>
              <w:t>Local Practice OrgID</w:t>
            </w:r>
          </w:p>
        </w:tc>
        <w:tc>
          <w:tcPr>
            <w:tcW w:w="1260" w:type="dxa"/>
            <w:tcBorders>
              <w:top w:val="single" w:sz="6" w:space="0" w:color="auto"/>
              <w:left w:val="single" w:sz="6" w:space="0" w:color="auto"/>
              <w:bottom w:val="single" w:sz="6" w:space="0" w:color="auto"/>
              <w:right w:val="single" w:sz="6" w:space="0" w:color="auto"/>
            </w:tcBorders>
          </w:tcPr>
          <w:p w14:paraId="0FF15CEC" w14:textId="6A31E73B"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39869616" w14:textId="4D5505EB"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7B38A759" w14:textId="51D0EF8C"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A19E10D" w14:textId="5782AC45"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385C319"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7D9A72C4" w14:textId="77777777" w:rsidR="007E6B2C" w:rsidRPr="00D93798" w:rsidRDefault="007E6B2C" w:rsidP="007E6B2C">
            <w:pPr>
              <w:rPr>
                <w:rFonts w:ascii="Arial" w:hAnsi="Arial" w:cs="Arial"/>
                <w:spacing w:val="-3"/>
                <w:sz w:val="18"/>
                <w:szCs w:val="18"/>
              </w:rPr>
            </w:pPr>
          </w:p>
          <w:p w14:paraId="46F4A600" w14:textId="77C7A225" w:rsidR="007E6B2C" w:rsidRPr="00D93798" w:rsidRDefault="007E6B2C" w:rsidP="007E6B2C">
            <w:pPr>
              <w:rPr>
                <w:rFonts w:ascii="Arial" w:hAnsi="Arial" w:cs="Arial"/>
                <w:bCs/>
                <w:sz w:val="18"/>
                <w:szCs w:val="18"/>
              </w:rPr>
            </w:pPr>
            <w:r w:rsidRPr="00D93798">
              <w:rPr>
                <w:rFonts w:ascii="Arial" w:hAnsi="Arial" w:cs="Arial"/>
                <w:spacing w:val="-3"/>
                <w:sz w:val="18"/>
                <w:szCs w:val="18"/>
              </w:rPr>
              <w:t>Must be a CHIA-issued OrgID.</w:t>
            </w:r>
          </w:p>
        </w:tc>
      </w:tr>
      <w:tr w:rsidR="007E6B2C" w:rsidRPr="007152C1" w14:paraId="60563645"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7EB5B2D" w14:textId="40A46066" w:rsidR="007E6B2C" w:rsidRPr="00D93798" w:rsidRDefault="007E6B2C" w:rsidP="007E6B2C">
            <w:pPr>
              <w:jc w:val="center"/>
              <w:rPr>
                <w:rFonts w:ascii="Arial" w:hAnsi="Arial" w:cs="Arial"/>
                <w:sz w:val="18"/>
                <w:szCs w:val="18"/>
              </w:rPr>
            </w:pPr>
            <w:r>
              <w:rPr>
                <w:rFonts w:ascii="Arial" w:hAnsi="Arial" w:cs="Arial"/>
                <w:sz w:val="18"/>
                <w:szCs w:val="18"/>
              </w:rPr>
              <w:lastRenderedPageBreak/>
              <w:t>PG</w:t>
            </w:r>
          </w:p>
        </w:tc>
        <w:tc>
          <w:tcPr>
            <w:tcW w:w="1103" w:type="dxa"/>
            <w:tcBorders>
              <w:top w:val="single" w:sz="6" w:space="0" w:color="auto"/>
              <w:left w:val="single" w:sz="6" w:space="0" w:color="auto"/>
              <w:bottom w:val="single" w:sz="6" w:space="0" w:color="auto"/>
              <w:right w:val="single" w:sz="6" w:space="0" w:color="auto"/>
            </w:tcBorders>
          </w:tcPr>
          <w:p w14:paraId="1A0FA0C5" w14:textId="7B4ED777"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6B157608" w14:textId="7D1305BD" w:rsidR="007E6B2C" w:rsidRPr="00D93798" w:rsidRDefault="007E6B2C" w:rsidP="007E6B2C">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7EA3E96F" w14:textId="5DD017F3" w:rsidR="007E6B2C" w:rsidRPr="00D93798" w:rsidRDefault="007E6B2C" w:rsidP="007E6B2C">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713F3A43" w14:textId="1780C26A"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1AB0EC2" w14:textId="3DE219C7"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A61EA0A" w14:textId="2603C6AE"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6CF26E6" w14:textId="79E9BD73"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1CA4244" w14:textId="77777777" w:rsidR="007E6B2C" w:rsidRDefault="007E6B2C" w:rsidP="007E6B2C">
            <w:pPr>
              <w:rPr>
                <w:rFonts w:ascii="Arial" w:hAnsi="Arial" w:cs="Arial"/>
                <w:bCs/>
                <w:sz w:val="18"/>
                <w:szCs w:val="18"/>
              </w:rPr>
            </w:pPr>
            <w:r>
              <w:rPr>
                <w:rFonts w:ascii="Arial" w:hAnsi="Arial" w:cs="Arial"/>
                <w:bCs/>
                <w:sz w:val="18"/>
                <w:szCs w:val="18"/>
              </w:rPr>
              <w:t>Insurance Category.</w:t>
            </w:r>
          </w:p>
          <w:p w14:paraId="375CEAEB" w14:textId="77777777" w:rsidR="007E6B2C" w:rsidRDefault="007E6B2C" w:rsidP="007E6B2C">
            <w:pPr>
              <w:rPr>
                <w:rFonts w:ascii="Arial" w:hAnsi="Arial" w:cs="Arial"/>
                <w:bCs/>
                <w:sz w:val="18"/>
                <w:szCs w:val="18"/>
              </w:rPr>
            </w:pPr>
          </w:p>
          <w:p w14:paraId="14140D7D" w14:textId="1715E67B" w:rsidR="007E6B2C" w:rsidRPr="00D93798" w:rsidRDefault="007E6B2C">
            <w:pPr>
              <w:rPr>
                <w:rFonts w:ascii="Arial" w:hAnsi="Arial" w:cs="Arial"/>
                <w:bCs/>
                <w:sz w:val="18"/>
                <w:szCs w:val="18"/>
              </w:rPr>
            </w:pPr>
            <w:r>
              <w:rPr>
                <w:rFonts w:ascii="Arial" w:hAnsi="Arial" w:cs="Arial"/>
                <w:bCs/>
                <w:sz w:val="18"/>
                <w:szCs w:val="18"/>
              </w:rPr>
              <w:t xml:space="preserve">See Table </w:t>
            </w:r>
            <w:r w:rsidR="004B120D">
              <w:rPr>
                <w:rFonts w:ascii="Arial" w:hAnsi="Arial" w:cs="Arial"/>
                <w:bCs/>
                <w:sz w:val="18"/>
                <w:szCs w:val="18"/>
              </w:rPr>
              <w:t>D</w:t>
            </w:r>
            <w:r>
              <w:rPr>
                <w:rFonts w:ascii="Arial" w:hAnsi="Arial" w:cs="Arial"/>
                <w:bCs/>
                <w:sz w:val="18"/>
                <w:szCs w:val="18"/>
              </w:rPr>
              <w:t>.2 on the Reference Tables tab.</w:t>
            </w:r>
          </w:p>
        </w:tc>
      </w:tr>
      <w:tr w:rsidR="007E6B2C" w:rsidRPr="007152C1" w14:paraId="070B5A22"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666CE84E" w14:textId="3E37C058"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209B4600" w14:textId="1AACE2CC"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7B18E01C" w14:textId="7BDACAA1" w:rsidR="007E6B2C" w:rsidRPr="00D93798" w:rsidRDefault="007E6B2C" w:rsidP="007E6B2C">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1F38BADF" w14:textId="139C7A74" w:rsidR="007E6B2C" w:rsidRPr="00D93798" w:rsidRDefault="007E6B2C" w:rsidP="007E6B2C">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5E65C431" w14:textId="41AF1946"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1247B13" w14:textId="5D0436BE" w:rsidR="007E6B2C" w:rsidRPr="00D93798" w:rsidRDefault="007E6B2C" w:rsidP="007E6B2C">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F923143" w14:textId="05B504A6"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0B8FD68" w14:textId="0C7FFDD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E31BAAD" w14:textId="77777777" w:rsidR="007E6B2C" w:rsidRDefault="007E6B2C" w:rsidP="007E6B2C">
            <w:pPr>
              <w:rPr>
                <w:rFonts w:ascii="Arial" w:hAnsi="Arial" w:cs="Arial"/>
                <w:bCs/>
                <w:sz w:val="18"/>
                <w:szCs w:val="18"/>
              </w:rPr>
            </w:pPr>
            <w:r>
              <w:rPr>
                <w:rFonts w:ascii="Arial" w:hAnsi="Arial" w:cs="Arial"/>
                <w:bCs/>
                <w:sz w:val="18"/>
                <w:szCs w:val="18"/>
              </w:rPr>
              <w:t>Product Type.</w:t>
            </w:r>
          </w:p>
          <w:p w14:paraId="44D3523E" w14:textId="77777777" w:rsidR="007E6B2C" w:rsidRDefault="007E6B2C" w:rsidP="007E6B2C">
            <w:pPr>
              <w:rPr>
                <w:rFonts w:ascii="Arial" w:hAnsi="Arial" w:cs="Arial"/>
                <w:bCs/>
                <w:sz w:val="18"/>
                <w:szCs w:val="18"/>
              </w:rPr>
            </w:pPr>
          </w:p>
          <w:p w14:paraId="03DE6D14" w14:textId="25390688" w:rsidR="007E6B2C" w:rsidRPr="00D93798" w:rsidRDefault="004B120D" w:rsidP="007E6B2C">
            <w:pPr>
              <w:rPr>
                <w:rFonts w:ascii="Arial" w:hAnsi="Arial" w:cs="Arial"/>
                <w:bCs/>
                <w:sz w:val="18"/>
                <w:szCs w:val="18"/>
              </w:rPr>
            </w:pPr>
            <w:r>
              <w:rPr>
                <w:rFonts w:ascii="Arial" w:hAnsi="Arial" w:cs="Arial"/>
                <w:bCs/>
                <w:sz w:val="18"/>
                <w:szCs w:val="18"/>
              </w:rPr>
              <w:t>See Table D</w:t>
            </w:r>
            <w:r w:rsidR="007E6B2C">
              <w:rPr>
                <w:rFonts w:ascii="Arial" w:hAnsi="Arial" w:cs="Arial"/>
                <w:bCs/>
                <w:sz w:val="18"/>
                <w:szCs w:val="18"/>
              </w:rPr>
              <w:t>.3 on the Reference Tables tab.</w:t>
            </w:r>
          </w:p>
        </w:tc>
      </w:tr>
      <w:tr w:rsidR="00FA7630" w:rsidRPr="007152C1" w14:paraId="2C0232F9"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26DC421D" w14:textId="70C13A4F" w:rsidR="00FA7630" w:rsidRPr="00D93798" w:rsidDel="007E6B2C" w:rsidRDefault="00FA7630" w:rsidP="00FA7630">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6AE120FC" w14:textId="3FE6D63F" w:rsidR="00FA7630" w:rsidRDefault="00FA7630" w:rsidP="00FA7630">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59BB4434" w14:textId="15B5F7F2" w:rsidR="00FA7630" w:rsidRPr="00D93798" w:rsidDel="007E6B2C" w:rsidRDefault="00FA7630" w:rsidP="00FA7630">
            <w:pPr>
              <w:jc w:val="center"/>
              <w:rPr>
                <w:rFonts w:ascii="Arial" w:hAnsi="Arial" w:cs="Arial"/>
                <w:sz w:val="18"/>
                <w:szCs w:val="18"/>
              </w:rPr>
            </w:pPr>
            <w:r>
              <w:rPr>
                <w:rFonts w:ascii="Arial" w:hAnsi="Arial" w:cs="Arial"/>
                <w:sz w:val="18"/>
                <w:szCs w:val="18"/>
              </w:rPr>
              <w:t>E</w:t>
            </w:r>
          </w:p>
        </w:tc>
        <w:tc>
          <w:tcPr>
            <w:tcW w:w="1283" w:type="dxa"/>
            <w:tcBorders>
              <w:top w:val="single" w:sz="6" w:space="0" w:color="auto"/>
              <w:left w:val="single" w:sz="6" w:space="0" w:color="auto"/>
              <w:bottom w:val="single" w:sz="6" w:space="0" w:color="auto"/>
              <w:right w:val="single" w:sz="6" w:space="0" w:color="auto"/>
            </w:tcBorders>
          </w:tcPr>
          <w:p w14:paraId="00346506" w14:textId="00F5B637" w:rsidR="00FA7630" w:rsidRDefault="00FA7630" w:rsidP="00FA7630">
            <w:pPr>
              <w:jc w:val="center"/>
              <w:rPr>
                <w:rFonts w:ascii="Arial" w:hAnsi="Arial" w:cs="Arial"/>
                <w:sz w:val="18"/>
                <w:szCs w:val="18"/>
              </w:rPr>
            </w:pPr>
            <w:r>
              <w:rPr>
                <w:rFonts w:ascii="Arial" w:hAnsi="Arial" w:cs="Arial"/>
                <w:sz w:val="18"/>
                <w:szCs w:val="18"/>
              </w:rPr>
              <w:t>Pediatric Indicator</w:t>
            </w:r>
          </w:p>
        </w:tc>
        <w:tc>
          <w:tcPr>
            <w:tcW w:w="1260" w:type="dxa"/>
            <w:tcBorders>
              <w:top w:val="single" w:sz="6" w:space="0" w:color="auto"/>
              <w:left w:val="single" w:sz="6" w:space="0" w:color="auto"/>
              <w:bottom w:val="single" w:sz="6" w:space="0" w:color="auto"/>
              <w:right w:val="single" w:sz="6" w:space="0" w:color="auto"/>
            </w:tcBorders>
          </w:tcPr>
          <w:p w14:paraId="75143A65" w14:textId="7569782E" w:rsidR="00FA7630" w:rsidRPr="00D93798" w:rsidDel="008A7ABE" w:rsidRDefault="00436363" w:rsidP="00FA7630">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4111CC5" w14:textId="6D5C1167" w:rsidR="00FA7630" w:rsidRPr="00D93798" w:rsidRDefault="00FA7630" w:rsidP="00FA7630">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F897EF8" w14:textId="001489D2" w:rsidR="00FA7630" w:rsidRDefault="00FA7630" w:rsidP="00FA7630">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8D8BBED" w14:textId="2EF7DD6F" w:rsidR="00FA7630" w:rsidRDefault="00FA7630" w:rsidP="00FA7630">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DAE1FAE" w14:textId="75F6C23D" w:rsidR="00FA7630" w:rsidRPr="00D93798" w:rsidRDefault="00FA7630" w:rsidP="00FA7630">
            <w:pPr>
              <w:rPr>
                <w:rFonts w:ascii="Arial" w:hAnsi="Arial" w:cs="Arial"/>
                <w:bCs/>
                <w:sz w:val="18"/>
                <w:szCs w:val="18"/>
              </w:rPr>
            </w:pPr>
            <w:r>
              <w:rPr>
                <w:rFonts w:ascii="Arial" w:hAnsi="Arial" w:cs="Arial"/>
                <w:bCs/>
                <w:sz w:val="18"/>
                <w:szCs w:val="18"/>
              </w:rPr>
              <w:t>An indicator variable to mark that the physician group serves primarily pediatric patients: 0 = Non-Pediatric; 1 = Pediatric</w:t>
            </w:r>
          </w:p>
        </w:tc>
      </w:tr>
      <w:tr w:rsidR="007E6B2C" w:rsidRPr="007152C1" w14:paraId="2DBB3B89"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598D70DD" w14:textId="17BC4D73"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CE53D71" w14:textId="75857B9B"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222FB610" w14:textId="61C08062" w:rsidR="007E6B2C" w:rsidRPr="00D93798" w:rsidRDefault="001B4370" w:rsidP="007E6B2C">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0B681DAA" w14:textId="036C3CE8" w:rsidR="007E6B2C" w:rsidRPr="00D93798" w:rsidRDefault="007E6B2C" w:rsidP="007E6B2C">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3446C9F1" w14:textId="6A34702C"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ABDEB75" w14:textId="63C6763B" w:rsidR="007E6B2C" w:rsidRPr="00D93798" w:rsidRDefault="007E6B2C" w:rsidP="007E6B2C">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02FEB73B" w14:textId="4FB2B20A" w:rsidR="007E6B2C" w:rsidRPr="00D93798" w:rsidRDefault="007E6B2C" w:rsidP="007E6B2C">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161E7BBC" w14:textId="15650619"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A7D8DF2" w14:textId="5FA7A61A" w:rsidR="007E6B2C" w:rsidRPr="00D93798" w:rsidRDefault="007E6B2C" w:rsidP="007E6B2C">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7E6B2C" w:rsidRPr="007152C1" w14:paraId="3F4A063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1366D809" w14:textId="3D9C160D"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5F02885" w14:textId="1CE3DECC"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6B7A898A" w14:textId="310A0A7E" w:rsidR="007E6B2C" w:rsidRPr="00D93798" w:rsidRDefault="001B4370">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042342FF" w14:textId="27CF4566" w:rsidR="007E6B2C" w:rsidRPr="00D93798" w:rsidRDefault="007E6B2C" w:rsidP="007E6B2C">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57CDD80C" w14:textId="78C044BD"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EE63308" w14:textId="6335F477"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3040783F" w14:textId="27F071A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52BC2F7" w14:textId="4E44767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0CDFE27B"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04003113" w14:textId="77777777" w:rsidR="007E6B2C" w:rsidRPr="00D93798" w:rsidRDefault="007E6B2C" w:rsidP="007E6B2C">
            <w:pPr>
              <w:rPr>
                <w:rFonts w:ascii="Arial" w:hAnsi="Arial" w:cs="Arial"/>
                <w:bCs/>
                <w:sz w:val="18"/>
                <w:szCs w:val="18"/>
              </w:rPr>
            </w:pPr>
          </w:p>
          <w:p w14:paraId="166755B6" w14:textId="26017387"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8667D6">
              <w:rPr>
                <w:rFonts w:ascii="Arial" w:hAnsi="Arial" w:cs="Arial"/>
                <w:bCs/>
                <w:sz w:val="18"/>
                <w:szCs w:val="18"/>
              </w:rPr>
              <w:t>Provider Group</w:t>
            </w:r>
            <w:r>
              <w:rPr>
                <w:rFonts w:ascii="Arial" w:hAnsi="Arial" w:cs="Arial"/>
                <w:bCs/>
                <w:sz w:val="18"/>
                <w:szCs w:val="18"/>
              </w:rPr>
              <w:t>/</w:t>
            </w:r>
            <w:r w:rsidR="008667D6">
              <w:rPr>
                <w:rFonts w:ascii="Arial" w:hAnsi="Arial" w:cs="Arial"/>
                <w:bCs/>
                <w:sz w:val="18"/>
                <w:szCs w:val="18"/>
              </w:rPr>
              <w:t>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44596E5C" w14:textId="77777777" w:rsidR="00BC6843" w:rsidRDefault="00BC6843" w:rsidP="007E6B2C">
            <w:pPr>
              <w:rPr>
                <w:rFonts w:ascii="Arial" w:hAnsi="Arial" w:cs="Arial"/>
                <w:bCs/>
                <w:sz w:val="18"/>
                <w:szCs w:val="18"/>
              </w:rPr>
            </w:pPr>
          </w:p>
          <w:p w14:paraId="14B56B18" w14:textId="5F89D35E" w:rsidR="00BC6843" w:rsidRDefault="00BC6843" w:rsidP="4908C82E">
            <w:pPr>
              <w:rPr>
                <w:rFonts w:ascii="Arial" w:hAnsi="Arial" w:cs="Arial"/>
                <w:sz w:val="18"/>
                <w:szCs w:val="18"/>
              </w:rPr>
            </w:pPr>
            <w:r w:rsidRPr="4908C82E">
              <w:rPr>
                <w:rFonts w:ascii="Arial" w:hAnsi="Arial" w:cs="Arial"/>
                <w:sz w:val="18"/>
                <w:szCs w:val="18"/>
              </w:rPr>
              <w:t xml:space="preserve">In instances where there is no claims data reported in a given year, </w:t>
            </w:r>
            <w:r w:rsidR="3F220ADE" w:rsidRPr="4908C82E">
              <w:rPr>
                <w:rFonts w:ascii="Arial" w:hAnsi="Arial" w:cs="Arial"/>
                <w:sz w:val="18"/>
                <w:szCs w:val="18"/>
              </w:rPr>
              <w:t xml:space="preserve">do not </w:t>
            </w:r>
            <w:r w:rsidRPr="4908C82E">
              <w:rPr>
                <w:rFonts w:ascii="Arial" w:hAnsi="Arial" w:cs="Arial"/>
                <w:sz w:val="18"/>
                <w:szCs w:val="18"/>
              </w:rPr>
              <w:t>report</w:t>
            </w:r>
            <w:r w:rsidR="35061A91" w:rsidRPr="4908C82E">
              <w:rPr>
                <w:rFonts w:ascii="Arial" w:hAnsi="Arial" w:cs="Arial"/>
                <w:sz w:val="18"/>
                <w:szCs w:val="18"/>
              </w:rPr>
              <w:t xml:space="preserve"> a</w:t>
            </w:r>
            <w:r w:rsidRPr="4908C82E">
              <w:rPr>
                <w:rFonts w:ascii="Arial" w:hAnsi="Arial" w:cs="Arial"/>
                <w:sz w:val="18"/>
                <w:szCs w:val="18"/>
              </w:rPr>
              <w:t xml:space="preserve"> multiplier value</w:t>
            </w:r>
            <w:r w:rsidR="78AC82CC" w:rsidRPr="4908C82E">
              <w:rPr>
                <w:rFonts w:ascii="Arial" w:hAnsi="Arial" w:cs="Arial"/>
                <w:sz w:val="18"/>
                <w:szCs w:val="18"/>
              </w:rPr>
              <w:t>.</w:t>
            </w:r>
          </w:p>
          <w:p w14:paraId="154FD640" w14:textId="77777777" w:rsidR="007E6B2C" w:rsidRDefault="007E6B2C" w:rsidP="007E6B2C">
            <w:pPr>
              <w:rPr>
                <w:rFonts w:ascii="Arial" w:hAnsi="Arial" w:cs="Arial"/>
                <w:bCs/>
                <w:sz w:val="18"/>
                <w:szCs w:val="18"/>
              </w:rPr>
            </w:pPr>
          </w:p>
          <w:p w14:paraId="3AE35BEA" w14:textId="703ABDAE" w:rsidR="007E6B2C" w:rsidRPr="00D93798" w:rsidRDefault="007E6B2C">
            <w:pPr>
              <w:rPr>
                <w:rFonts w:ascii="Arial" w:hAnsi="Arial" w:cs="Arial"/>
                <w:bCs/>
                <w:sz w:val="18"/>
                <w:szCs w:val="18"/>
              </w:rPr>
            </w:pPr>
            <w:r>
              <w:rPr>
                <w:rFonts w:ascii="Arial" w:hAnsi="Arial" w:cs="Arial"/>
                <w:bCs/>
                <w:sz w:val="18"/>
                <w:szCs w:val="18"/>
              </w:rPr>
              <w:t xml:space="preserve">See Table </w:t>
            </w:r>
            <w:r w:rsidR="004B120D">
              <w:rPr>
                <w:rFonts w:ascii="Arial" w:hAnsi="Arial" w:cs="Arial"/>
                <w:bCs/>
                <w:sz w:val="18"/>
                <w:szCs w:val="18"/>
              </w:rPr>
              <w:t>D</w:t>
            </w:r>
            <w:r>
              <w:rPr>
                <w:rFonts w:ascii="Arial" w:hAnsi="Arial" w:cs="Arial"/>
                <w:bCs/>
                <w:sz w:val="18"/>
                <w:szCs w:val="18"/>
              </w:rPr>
              <w:t>.4 on the Reference Tables tab.</w:t>
            </w:r>
          </w:p>
        </w:tc>
      </w:tr>
      <w:tr w:rsidR="007E6B2C" w:rsidRPr="007152C1" w14:paraId="543A40A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15DD162B" w14:textId="188B9CF2"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652CE465" w14:textId="6CE70AC1"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5DA82D36" w14:textId="694143E9" w:rsidR="007E6B2C" w:rsidRPr="00D93798" w:rsidRDefault="001B4370">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tcPr>
          <w:p w14:paraId="548A67BE" w14:textId="448B8E66" w:rsidR="007E6B2C" w:rsidRPr="007263F2" w:rsidRDefault="007E6B2C" w:rsidP="007E6B2C">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5CBABE76" w14:textId="0319F110" w:rsidR="007E6B2C" w:rsidRPr="007263F2"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032997ED" w14:textId="6E012DAB" w:rsidR="007E6B2C" w:rsidRPr="007263F2"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DB61784" w14:textId="3E41FA86" w:rsidR="007E6B2C" w:rsidRPr="007263F2"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E540D28" w14:textId="0434B4D5" w:rsidR="007E6B2C" w:rsidRPr="00DE5491"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5F516353"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505C4CD4" w14:textId="77777777" w:rsidR="007E6B2C" w:rsidRPr="00D93798" w:rsidRDefault="007E6B2C" w:rsidP="007E6B2C">
            <w:pPr>
              <w:rPr>
                <w:rFonts w:ascii="Arial" w:hAnsi="Arial" w:cs="Arial"/>
                <w:bCs/>
                <w:sz w:val="18"/>
                <w:szCs w:val="18"/>
              </w:rPr>
            </w:pPr>
          </w:p>
          <w:p w14:paraId="7FFC4D82" w14:textId="029EE96A"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8667D6">
              <w:rPr>
                <w:rFonts w:ascii="Arial" w:hAnsi="Arial" w:cs="Arial"/>
                <w:bCs/>
                <w:sz w:val="18"/>
                <w:szCs w:val="18"/>
              </w:rPr>
              <w:t xml:space="preserve">Provider Group/Local Practice Group </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0D367508" w14:textId="77777777" w:rsidR="007E6B2C" w:rsidRDefault="007E6B2C" w:rsidP="007E6B2C">
            <w:pPr>
              <w:rPr>
                <w:rFonts w:ascii="Arial" w:hAnsi="Arial" w:cs="Arial"/>
                <w:bCs/>
                <w:sz w:val="18"/>
                <w:szCs w:val="18"/>
              </w:rPr>
            </w:pPr>
          </w:p>
          <w:p w14:paraId="27ED4344" w14:textId="52407AD4" w:rsidR="007E6B2C" w:rsidRPr="00D93798" w:rsidRDefault="007E6B2C" w:rsidP="007E6B2C">
            <w:pPr>
              <w:rPr>
                <w:rFonts w:ascii="Arial" w:hAnsi="Arial" w:cs="Arial"/>
                <w:bCs/>
                <w:sz w:val="18"/>
                <w:szCs w:val="18"/>
              </w:rPr>
            </w:pPr>
            <w:r w:rsidRPr="00D93798">
              <w:rPr>
                <w:rFonts w:ascii="Arial" w:hAnsi="Arial" w:cs="Arial"/>
                <w:bCs/>
                <w:sz w:val="18"/>
                <w:szCs w:val="18"/>
              </w:rPr>
              <w:t>Multiplier value must fall in range: ‘0.1’-‘20’</w:t>
            </w:r>
          </w:p>
        </w:tc>
      </w:tr>
      <w:tr w:rsidR="007E6B2C" w:rsidRPr="007152C1" w14:paraId="43D75A7E"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59CEFBF1" w14:textId="0EB50A55" w:rsidR="007E6B2C" w:rsidRPr="00D93798" w:rsidRDefault="007E6B2C" w:rsidP="007E6B2C">
            <w:pPr>
              <w:jc w:val="center"/>
              <w:rPr>
                <w:rFonts w:ascii="Arial" w:hAnsi="Arial" w:cs="Arial"/>
                <w:sz w:val="18"/>
                <w:szCs w:val="18"/>
              </w:rPr>
            </w:pPr>
            <w:r>
              <w:rPr>
                <w:rFonts w:ascii="Arial" w:hAnsi="Arial" w:cs="Arial"/>
                <w:sz w:val="18"/>
                <w:szCs w:val="18"/>
              </w:rPr>
              <w:lastRenderedPageBreak/>
              <w:t>PG</w:t>
            </w:r>
          </w:p>
        </w:tc>
        <w:tc>
          <w:tcPr>
            <w:tcW w:w="1103" w:type="dxa"/>
            <w:tcBorders>
              <w:top w:val="single" w:sz="6" w:space="0" w:color="auto"/>
              <w:left w:val="single" w:sz="6" w:space="0" w:color="auto"/>
              <w:bottom w:val="single" w:sz="6" w:space="0" w:color="auto"/>
              <w:right w:val="single" w:sz="6" w:space="0" w:color="auto"/>
            </w:tcBorders>
          </w:tcPr>
          <w:p w14:paraId="516867FA" w14:textId="7694755D"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74A42C02" w14:textId="07D72E12" w:rsidR="007E6B2C" w:rsidRPr="00D93798" w:rsidRDefault="001B4370">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024B8B45" w14:textId="67A0FAA5" w:rsidR="007E6B2C" w:rsidRPr="00D93798" w:rsidRDefault="007E6B2C" w:rsidP="007E6B2C">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tcPr>
          <w:p w14:paraId="272A7AA2" w14:textId="1541A398"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3AF64E8" w14:textId="4D7317F3"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1ABEF0C6" w14:textId="536A9FF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4DAF182E" w14:textId="3C86B226"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606982B" w14:textId="31BF4DD1" w:rsidR="007E6B2C" w:rsidRPr="00D93798" w:rsidRDefault="007E6B2C" w:rsidP="007E6B2C">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w:t>
            </w:r>
            <w:r w:rsidR="008667D6">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p w14:paraId="06087DD8" w14:textId="77777777" w:rsidR="007E6B2C" w:rsidRPr="00D93798" w:rsidRDefault="007E6B2C" w:rsidP="007E6B2C">
            <w:pPr>
              <w:rPr>
                <w:rFonts w:ascii="Arial" w:hAnsi="Arial" w:cs="Arial"/>
                <w:bCs/>
                <w:sz w:val="18"/>
                <w:szCs w:val="18"/>
              </w:rPr>
            </w:pPr>
          </w:p>
          <w:p w14:paraId="32D22B64" w14:textId="0C02BECE" w:rsidR="007E6B2C" w:rsidRPr="00D93798" w:rsidRDefault="007E6B2C" w:rsidP="007E6B2C">
            <w:pPr>
              <w:rPr>
                <w:rFonts w:ascii="Arial" w:hAnsi="Arial" w:cs="Arial"/>
                <w:bCs/>
                <w:sz w:val="18"/>
                <w:szCs w:val="18"/>
              </w:rPr>
            </w:pPr>
            <w:r w:rsidRPr="00D93798">
              <w:rPr>
                <w:rFonts w:ascii="Arial" w:hAnsi="Arial" w:cs="Arial"/>
                <w:bCs/>
                <w:sz w:val="18"/>
                <w:szCs w:val="18"/>
              </w:rPr>
              <w:t>No negative values.</w:t>
            </w:r>
          </w:p>
        </w:tc>
      </w:tr>
      <w:tr w:rsidR="007E6B2C" w:rsidRPr="007152C1" w14:paraId="0EC94763"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37B77255" w14:textId="605EA679" w:rsidR="007E6B2C" w:rsidRPr="00D93798" w:rsidRDefault="007E6B2C" w:rsidP="007E6B2C">
            <w:pPr>
              <w:jc w:val="center"/>
              <w:rPr>
                <w:rFonts w:ascii="Arial" w:hAnsi="Arial" w:cs="Arial"/>
                <w:sz w:val="18"/>
                <w:szCs w:val="18"/>
              </w:rPr>
            </w:pPr>
            <w:r>
              <w:rPr>
                <w:rFonts w:ascii="Arial" w:hAnsi="Arial" w:cs="Arial"/>
                <w:sz w:val="18"/>
                <w:szCs w:val="18"/>
              </w:rPr>
              <w:t>PG</w:t>
            </w:r>
          </w:p>
        </w:tc>
        <w:tc>
          <w:tcPr>
            <w:tcW w:w="1103" w:type="dxa"/>
            <w:tcBorders>
              <w:top w:val="single" w:sz="6" w:space="0" w:color="auto"/>
              <w:left w:val="single" w:sz="6" w:space="0" w:color="auto"/>
              <w:bottom w:val="single" w:sz="6" w:space="0" w:color="auto"/>
              <w:right w:val="single" w:sz="6" w:space="0" w:color="auto"/>
            </w:tcBorders>
          </w:tcPr>
          <w:p w14:paraId="4BB8BAEC" w14:textId="38675650" w:rsidR="007E6B2C" w:rsidRPr="00D93798" w:rsidRDefault="007E6B2C" w:rsidP="007E6B2C">
            <w:pPr>
              <w:jc w:val="center"/>
              <w:rPr>
                <w:rFonts w:ascii="Arial" w:hAnsi="Arial" w:cs="Arial"/>
                <w:sz w:val="18"/>
                <w:szCs w:val="18"/>
              </w:rPr>
            </w:pPr>
            <w:r>
              <w:rPr>
                <w:rFonts w:ascii="Arial" w:hAnsi="Arial" w:cs="Arial"/>
                <w:sz w:val="18"/>
                <w:szCs w:val="18"/>
              </w:rPr>
              <w:t>Physician Group Data</w:t>
            </w:r>
          </w:p>
        </w:tc>
        <w:tc>
          <w:tcPr>
            <w:tcW w:w="517" w:type="dxa"/>
            <w:tcBorders>
              <w:top w:val="single" w:sz="6" w:space="0" w:color="auto"/>
              <w:left w:val="single" w:sz="6" w:space="0" w:color="auto"/>
              <w:bottom w:val="single" w:sz="6" w:space="0" w:color="auto"/>
              <w:right w:val="single" w:sz="6" w:space="0" w:color="auto"/>
            </w:tcBorders>
          </w:tcPr>
          <w:p w14:paraId="13AA0990" w14:textId="650F15A5" w:rsidR="007E6B2C" w:rsidRPr="00D93798" w:rsidRDefault="001B4370">
            <w:pPr>
              <w:jc w:val="center"/>
              <w:rPr>
                <w:rFonts w:ascii="Arial" w:hAnsi="Arial" w:cs="Arial"/>
                <w:sz w:val="18"/>
                <w:szCs w:val="18"/>
              </w:rPr>
            </w:pPr>
            <w:r>
              <w:rPr>
                <w:rFonts w:ascii="Arial" w:hAnsi="Arial" w:cs="Arial"/>
                <w:sz w:val="18"/>
                <w:szCs w:val="18"/>
              </w:rPr>
              <w:t>K</w:t>
            </w:r>
          </w:p>
        </w:tc>
        <w:tc>
          <w:tcPr>
            <w:tcW w:w="1283" w:type="dxa"/>
            <w:tcBorders>
              <w:top w:val="single" w:sz="6" w:space="0" w:color="auto"/>
              <w:left w:val="single" w:sz="6" w:space="0" w:color="auto"/>
              <w:bottom w:val="single" w:sz="6" w:space="0" w:color="auto"/>
              <w:right w:val="single" w:sz="6" w:space="0" w:color="auto"/>
            </w:tcBorders>
          </w:tcPr>
          <w:p w14:paraId="3E93C471" w14:textId="74396105" w:rsidR="007E6B2C" w:rsidRPr="00D93798" w:rsidRDefault="007E6B2C" w:rsidP="007E6B2C">
            <w:pPr>
              <w:jc w:val="center"/>
              <w:rPr>
                <w:rFonts w:ascii="Arial" w:hAnsi="Arial" w:cs="Arial"/>
                <w:sz w:val="18"/>
                <w:szCs w:val="18"/>
              </w:rPr>
            </w:pPr>
            <w:r>
              <w:rPr>
                <w:rFonts w:ascii="Arial" w:hAnsi="Arial" w:cs="Arial"/>
                <w:sz w:val="18"/>
                <w:szCs w:val="18"/>
              </w:rPr>
              <w:t>Non Claims Payments</w:t>
            </w:r>
          </w:p>
        </w:tc>
        <w:tc>
          <w:tcPr>
            <w:tcW w:w="1260" w:type="dxa"/>
            <w:tcBorders>
              <w:top w:val="single" w:sz="6" w:space="0" w:color="auto"/>
              <w:left w:val="single" w:sz="6" w:space="0" w:color="auto"/>
              <w:bottom w:val="single" w:sz="6" w:space="0" w:color="auto"/>
              <w:right w:val="single" w:sz="6" w:space="0" w:color="auto"/>
            </w:tcBorders>
          </w:tcPr>
          <w:p w14:paraId="45E3F732" w14:textId="122DBB3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558F1254" w14:textId="7395D8D3"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CBF0032" w14:textId="56ABFC4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0F590CB" w14:textId="1EF92F25"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BA88F9F" w14:textId="01ADBA34" w:rsidR="007E6B2C" w:rsidRPr="00D93798" w:rsidRDefault="007E6B2C" w:rsidP="007E6B2C">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w:t>
            </w:r>
            <w:r w:rsidR="008667D6">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p w14:paraId="0C4D5BD9" w14:textId="398129F7" w:rsidR="007E6B2C" w:rsidRPr="00D93798" w:rsidRDefault="007E6B2C" w:rsidP="007E6B2C">
            <w:pPr>
              <w:rPr>
                <w:rFonts w:ascii="Arial" w:hAnsi="Arial" w:cs="Arial"/>
                <w:bCs/>
                <w:sz w:val="18"/>
                <w:szCs w:val="18"/>
              </w:rPr>
            </w:pPr>
          </w:p>
        </w:tc>
      </w:tr>
      <w:tr w:rsidR="007E6B2C" w:rsidRPr="007152C1" w14:paraId="73992ADF"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5AC4533E" w14:textId="2B33C844" w:rsidR="007E6B2C" w:rsidRPr="00D93798" w:rsidRDefault="007E6B2C" w:rsidP="007E6B2C">
            <w:pPr>
              <w:jc w:val="center"/>
              <w:rPr>
                <w:rFonts w:ascii="Arial" w:hAnsi="Arial" w:cs="Arial"/>
                <w:sz w:val="18"/>
                <w:szCs w:val="18"/>
              </w:rPr>
            </w:pPr>
          </w:p>
        </w:tc>
        <w:tc>
          <w:tcPr>
            <w:tcW w:w="11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85328" w14:textId="77777777" w:rsidR="007E6B2C" w:rsidRPr="00D93798" w:rsidRDefault="007E6B2C" w:rsidP="007E6B2C">
            <w:pPr>
              <w:jc w:val="center"/>
              <w:rPr>
                <w:rFonts w:ascii="Arial" w:hAnsi="Arial" w:cs="Arial"/>
                <w:sz w:val="18"/>
                <w:szCs w:val="18"/>
              </w:rPr>
            </w:pPr>
          </w:p>
        </w:tc>
        <w:tc>
          <w:tcPr>
            <w:tcW w:w="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BA46CB" w14:textId="7C96A2E1" w:rsidR="007E6B2C" w:rsidRPr="00D93798" w:rsidRDefault="007E6B2C" w:rsidP="007E6B2C">
            <w:pPr>
              <w:jc w:val="cente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592690" w14:textId="39F38B33" w:rsidR="007E6B2C" w:rsidRPr="00D93798" w:rsidRDefault="007E6B2C" w:rsidP="007E6B2C">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29400D" w14:textId="4F2FE7F0" w:rsidR="007E6B2C" w:rsidRPr="00D93798" w:rsidRDefault="007E6B2C" w:rsidP="007E6B2C">
            <w:pPr>
              <w:jc w:val="center"/>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8AEF1E" w14:textId="7BE1B5CE" w:rsidR="007E6B2C" w:rsidRPr="00D93798" w:rsidRDefault="007E6B2C" w:rsidP="007E6B2C">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0414CF" w14:textId="1D0894F4" w:rsidR="007E6B2C" w:rsidRPr="00D93798" w:rsidRDefault="007E6B2C" w:rsidP="007E6B2C">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3DDABA" w14:textId="6D470484" w:rsidR="007E6B2C" w:rsidRPr="00D93798" w:rsidRDefault="007E6B2C" w:rsidP="007E6B2C">
            <w:pPr>
              <w:jc w:val="center"/>
              <w:rPr>
                <w:rFonts w:ascii="Arial" w:hAnsi="Arial" w:cs="Arial"/>
                <w:sz w:val="18"/>
                <w:szCs w:val="18"/>
              </w:rPr>
            </w:pPr>
          </w:p>
        </w:tc>
        <w:tc>
          <w:tcPr>
            <w:tcW w:w="3420"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5D03BDE7" w14:textId="6CBA7342" w:rsidR="007E6B2C" w:rsidRPr="00D93798" w:rsidRDefault="007E6B2C" w:rsidP="007E6B2C">
            <w:pPr>
              <w:rPr>
                <w:rFonts w:ascii="Arial" w:hAnsi="Arial" w:cs="Arial"/>
                <w:bCs/>
                <w:sz w:val="18"/>
                <w:szCs w:val="18"/>
              </w:rPr>
            </w:pPr>
          </w:p>
        </w:tc>
      </w:tr>
      <w:tr w:rsidR="007E6B2C" w:rsidRPr="007152C1" w14:paraId="0FAA4753"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560E92B0" w14:textId="47E495C0"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06C0F26D" w14:textId="46328E14"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081E5683" w14:textId="2751BA72" w:rsidR="007E6B2C" w:rsidRPr="00D93798" w:rsidRDefault="007E6B2C" w:rsidP="007E6B2C">
            <w:pPr>
              <w:jc w:val="center"/>
              <w:rPr>
                <w:rFonts w:ascii="Arial" w:hAnsi="Arial" w:cs="Arial"/>
                <w:sz w:val="18"/>
                <w:szCs w:val="18"/>
              </w:rPr>
            </w:pPr>
            <w:r>
              <w:rPr>
                <w:rFonts w:ascii="Arial" w:hAnsi="Arial" w:cs="Arial"/>
                <w:sz w:val="18"/>
                <w:szCs w:val="18"/>
              </w:rPr>
              <w:t>A</w:t>
            </w:r>
          </w:p>
        </w:tc>
        <w:tc>
          <w:tcPr>
            <w:tcW w:w="1283" w:type="dxa"/>
            <w:tcBorders>
              <w:top w:val="single" w:sz="6" w:space="0" w:color="auto"/>
              <w:left w:val="single" w:sz="6" w:space="0" w:color="auto"/>
              <w:bottom w:val="single" w:sz="6" w:space="0" w:color="auto"/>
              <w:right w:val="single" w:sz="6" w:space="0" w:color="auto"/>
            </w:tcBorders>
          </w:tcPr>
          <w:p w14:paraId="32DE17C9" w14:textId="056A7D23" w:rsidR="007E6B2C" w:rsidRPr="00D93798" w:rsidRDefault="007E6B2C" w:rsidP="007E6B2C">
            <w:pPr>
              <w:jc w:val="center"/>
              <w:rPr>
                <w:rFonts w:ascii="Arial" w:hAnsi="Arial" w:cs="Arial"/>
                <w:sz w:val="18"/>
                <w:szCs w:val="18"/>
              </w:rPr>
            </w:pPr>
            <w:r>
              <w:rPr>
                <w:rFonts w:ascii="Arial" w:hAnsi="Arial" w:cs="Arial"/>
                <w:sz w:val="18"/>
                <w:szCs w:val="18"/>
              </w:rPr>
              <w:t>Provider Group OrgID</w:t>
            </w:r>
          </w:p>
        </w:tc>
        <w:tc>
          <w:tcPr>
            <w:tcW w:w="1260" w:type="dxa"/>
            <w:tcBorders>
              <w:top w:val="single" w:sz="6" w:space="0" w:color="auto"/>
              <w:left w:val="single" w:sz="6" w:space="0" w:color="auto"/>
              <w:bottom w:val="single" w:sz="6" w:space="0" w:color="auto"/>
              <w:right w:val="single" w:sz="6" w:space="0" w:color="auto"/>
            </w:tcBorders>
          </w:tcPr>
          <w:p w14:paraId="0D43592F" w14:textId="7F73F1E9"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6BC10769" w14:textId="3B3F45EC"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67462ED8" w14:textId="056A4EB9"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6B250481" w14:textId="5A5AB678"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DD4F01"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042CC51D" w14:textId="77777777" w:rsidR="007E6B2C" w:rsidRPr="00D93798" w:rsidRDefault="007E6B2C" w:rsidP="007E6B2C">
            <w:pPr>
              <w:rPr>
                <w:rFonts w:ascii="Arial" w:hAnsi="Arial" w:cs="Arial"/>
                <w:spacing w:val="-3"/>
                <w:sz w:val="18"/>
                <w:szCs w:val="18"/>
              </w:rPr>
            </w:pPr>
          </w:p>
          <w:p w14:paraId="32B2C7DD" w14:textId="45B8876C" w:rsidR="007E6B2C" w:rsidRPr="00D93798" w:rsidRDefault="007E6B2C" w:rsidP="007E6B2C">
            <w:pPr>
              <w:rPr>
                <w:rFonts w:ascii="Arial" w:hAnsi="Arial" w:cs="Arial"/>
                <w:bCs/>
                <w:sz w:val="18"/>
                <w:szCs w:val="18"/>
              </w:rPr>
            </w:pPr>
            <w:r w:rsidRPr="00D93798">
              <w:rPr>
                <w:rFonts w:ascii="Arial" w:hAnsi="Arial" w:cs="Arial"/>
                <w:spacing w:val="-3"/>
                <w:sz w:val="18"/>
                <w:szCs w:val="18"/>
              </w:rPr>
              <w:t>Must be a CHIA-issued OrgID.</w:t>
            </w:r>
          </w:p>
        </w:tc>
      </w:tr>
      <w:tr w:rsidR="007E6B2C" w:rsidRPr="007152C1" w14:paraId="4C8A7185"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auto"/>
          </w:tcPr>
          <w:p w14:paraId="127EED0F" w14:textId="53301B44"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0FC6F7D9" w14:textId="07BE915A"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shd w:val="clear" w:color="auto" w:fill="auto"/>
          </w:tcPr>
          <w:p w14:paraId="2A590AE1" w14:textId="7792E228" w:rsidR="007E6B2C" w:rsidRPr="00D93798" w:rsidRDefault="007E6B2C" w:rsidP="007E6B2C">
            <w:pPr>
              <w:jc w:val="center"/>
              <w:rPr>
                <w:rFonts w:ascii="Arial" w:hAnsi="Arial" w:cs="Arial"/>
                <w:sz w:val="18"/>
                <w:szCs w:val="18"/>
              </w:rPr>
            </w:pPr>
            <w:r>
              <w:rPr>
                <w:rFonts w:ascii="Arial" w:hAnsi="Arial" w:cs="Arial"/>
                <w:sz w:val="18"/>
                <w:szCs w:val="18"/>
              </w:rPr>
              <w:t>B</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5286187C" w14:textId="58FB0C4B" w:rsidR="007E6B2C" w:rsidRPr="00D93798" w:rsidRDefault="007E6B2C" w:rsidP="007E6B2C">
            <w:pPr>
              <w:jc w:val="center"/>
              <w:rPr>
                <w:rFonts w:ascii="Arial" w:hAnsi="Arial" w:cs="Arial"/>
                <w:sz w:val="18"/>
                <w:szCs w:val="18"/>
              </w:rPr>
            </w:pPr>
            <w:r>
              <w:rPr>
                <w:rFonts w:ascii="Arial" w:hAnsi="Arial" w:cs="Arial"/>
                <w:sz w:val="18"/>
                <w:szCs w:val="18"/>
              </w:rPr>
              <w:t>Local Practice OrgID</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D663C63" w14:textId="1E147C0C"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6279F05" w14:textId="32DBFA81"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90C62CD" w14:textId="3C25FF81"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CD73FD1" w14:textId="18C7CD2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shd w:val="clear" w:color="auto" w:fill="auto"/>
          </w:tcPr>
          <w:p w14:paraId="08FFE348" w14:textId="77777777" w:rsidR="007E6B2C" w:rsidRPr="00D93798" w:rsidRDefault="007E6B2C" w:rsidP="007E6B2C">
            <w:pPr>
              <w:rPr>
                <w:rFonts w:ascii="Arial" w:hAnsi="Arial" w:cs="Arial"/>
                <w:spacing w:val="-3"/>
                <w:sz w:val="18"/>
                <w:szCs w:val="18"/>
              </w:rPr>
            </w:pPr>
            <w:r w:rsidRPr="00D93798">
              <w:rPr>
                <w:rFonts w:ascii="Arial" w:hAnsi="Arial" w:cs="Arial"/>
                <w:spacing w:val="-3"/>
                <w:sz w:val="18"/>
                <w:szCs w:val="18"/>
              </w:rPr>
              <w:t>The ORGID assigned by CHIA for the provider.</w:t>
            </w:r>
            <w:r>
              <w:rPr>
                <w:rFonts w:ascii="Arial" w:hAnsi="Arial" w:cs="Arial"/>
                <w:spacing w:val="-3"/>
                <w:sz w:val="18"/>
                <w:szCs w:val="18"/>
              </w:rPr>
              <w:t xml:space="preserve"> </w:t>
            </w:r>
            <w:r w:rsidRPr="00D93798">
              <w:rPr>
                <w:rFonts w:ascii="Arial" w:hAnsi="Arial" w:cs="Arial"/>
                <w:spacing w:val="-3"/>
                <w:sz w:val="18"/>
                <w:szCs w:val="18"/>
              </w:rPr>
              <w:t xml:space="preserve">Refer to </w:t>
            </w:r>
            <w:r>
              <w:rPr>
                <w:rFonts w:ascii="Arial" w:hAnsi="Arial" w:cs="Arial"/>
                <w:spacing w:val="-3"/>
                <w:sz w:val="18"/>
                <w:szCs w:val="18"/>
              </w:rPr>
              <w:t>Physician Group List tab</w:t>
            </w:r>
            <w:r w:rsidRPr="00D93798">
              <w:rPr>
                <w:rFonts w:ascii="Arial" w:hAnsi="Arial" w:cs="Arial"/>
                <w:spacing w:val="-3"/>
                <w:sz w:val="18"/>
                <w:szCs w:val="18"/>
              </w:rPr>
              <w:t xml:space="preserve"> for the number associated with each provider</w:t>
            </w:r>
          </w:p>
          <w:p w14:paraId="5BBEFDEC" w14:textId="77777777" w:rsidR="007E6B2C" w:rsidRPr="00D93798" w:rsidRDefault="007E6B2C" w:rsidP="007E6B2C">
            <w:pPr>
              <w:rPr>
                <w:rFonts w:ascii="Arial" w:hAnsi="Arial" w:cs="Arial"/>
                <w:spacing w:val="-3"/>
                <w:sz w:val="18"/>
                <w:szCs w:val="18"/>
              </w:rPr>
            </w:pPr>
          </w:p>
          <w:p w14:paraId="5310F4C1" w14:textId="03C05193" w:rsidR="007E6B2C" w:rsidRPr="00D93798" w:rsidRDefault="007E6B2C" w:rsidP="007E6B2C">
            <w:pPr>
              <w:rPr>
                <w:rFonts w:ascii="Arial" w:hAnsi="Arial" w:cs="Arial"/>
                <w:bCs/>
                <w:sz w:val="18"/>
                <w:szCs w:val="18"/>
              </w:rPr>
            </w:pPr>
            <w:r w:rsidRPr="00D93798">
              <w:rPr>
                <w:rFonts w:ascii="Arial" w:hAnsi="Arial" w:cs="Arial"/>
                <w:spacing w:val="-3"/>
                <w:sz w:val="18"/>
                <w:szCs w:val="18"/>
              </w:rPr>
              <w:t>Must be a CHIA-issued OrgID.</w:t>
            </w:r>
          </w:p>
        </w:tc>
      </w:tr>
      <w:tr w:rsidR="007E6B2C" w:rsidRPr="007152C1" w14:paraId="4D948C7C"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7631DA3F" w14:textId="04061F31"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44E57737" w14:textId="7E53A29F"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718EA868" w14:textId="79E74369" w:rsidR="007E6B2C" w:rsidRPr="00D93798" w:rsidRDefault="007E6B2C" w:rsidP="007E6B2C">
            <w:pPr>
              <w:jc w:val="center"/>
              <w:rPr>
                <w:rFonts w:ascii="Arial" w:hAnsi="Arial" w:cs="Arial"/>
                <w:sz w:val="18"/>
                <w:szCs w:val="18"/>
              </w:rPr>
            </w:pPr>
            <w:r>
              <w:rPr>
                <w:rFonts w:ascii="Arial" w:hAnsi="Arial" w:cs="Arial"/>
                <w:sz w:val="18"/>
                <w:szCs w:val="18"/>
              </w:rPr>
              <w:t>C</w:t>
            </w:r>
          </w:p>
        </w:tc>
        <w:tc>
          <w:tcPr>
            <w:tcW w:w="1283" w:type="dxa"/>
            <w:tcBorders>
              <w:top w:val="single" w:sz="6" w:space="0" w:color="auto"/>
              <w:left w:val="single" w:sz="6" w:space="0" w:color="auto"/>
              <w:bottom w:val="single" w:sz="6" w:space="0" w:color="auto"/>
              <w:right w:val="single" w:sz="6" w:space="0" w:color="auto"/>
            </w:tcBorders>
          </w:tcPr>
          <w:p w14:paraId="03F0B2FD" w14:textId="3811FE38" w:rsidR="007E6B2C" w:rsidRPr="00D93798" w:rsidRDefault="007E6B2C" w:rsidP="007E6B2C">
            <w:pPr>
              <w:jc w:val="center"/>
              <w:rPr>
                <w:rFonts w:ascii="Arial" w:hAnsi="Arial" w:cs="Arial"/>
                <w:sz w:val="18"/>
                <w:szCs w:val="18"/>
              </w:rPr>
            </w:pPr>
            <w:r>
              <w:rPr>
                <w:rFonts w:ascii="Arial" w:hAnsi="Arial" w:cs="Arial"/>
                <w:sz w:val="18"/>
                <w:szCs w:val="18"/>
              </w:rPr>
              <w:t>Insurance Category Code</w:t>
            </w:r>
          </w:p>
        </w:tc>
        <w:tc>
          <w:tcPr>
            <w:tcW w:w="1260" w:type="dxa"/>
            <w:tcBorders>
              <w:top w:val="single" w:sz="6" w:space="0" w:color="auto"/>
              <w:left w:val="single" w:sz="6" w:space="0" w:color="auto"/>
              <w:bottom w:val="single" w:sz="6" w:space="0" w:color="auto"/>
              <w:right w:val="single" w:sz="6" w:space="0" w:color="auto"/>
            </w:tcBorders>
          </w:tcPr>
          <w:p w14:paraId="440F5519" w14:textId="12E78A5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1B407AF9" w14:textId="6727AD74"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13BA6299" w14:textId="7836350C"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7960600C" w14:textId="529DFB81"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B759F1A" w14:textId="77777777" w:rsidR="007E6B2C" w:rsidRDefault="007E6B2C" w:rsidP="007E6B2C">
            <w:pPr>
              <w:rPr>
                <w:rFonts w:ascii="Arial" w:hAnsi="Arial" w:cs="Arial"/>
                <w:bCs/>
                <w:sz w:val="18"/>
                <w:szCs w:val="18"/>
              </w:rPr>
            </w:pPr>
            <w:r>
              <w:rPr>
                <w:rFonts w:ascii="Arial" w:hAnsi="Arial" w:cs="Arial"/>
                <w:bCs/>
                <w:sz w:val="18"/>
                <w:szCs w:val="18"/>
              </w:rPr>
              <w:t>Insurance Category.</w:t>
            </w:r>
          </w:p>
          <w:p w14:paraId="7A658F52" w14:textId="77777777" w:rsidR="007E6B2C" w:rsidRDefault="007E6B2C" w:rsidP="007E6B2C">
            <w:pPr>
              <w:rPr>
                <w:rFonts w:ascii="Arial" w:hAnsi="Arial" w:cs="Arial"/>
                <w:bCs/>
                <w:sz w:val="18"/>
                <w:szCs w:val="18"/>
              </w:rPr>
            </w:pPr>
          </w:p>
          <w:p w14:paraId="377CE61C" w14:textId="6E0031BD" w:rsidR="007E6B2C" w:rsidRPr="00D93798" w:rsidRDefault="007E6B2C" w:rsidP="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.2 on the Reference Tables tab.</w:t>
            </w:r>
          </w:p>
        </w:tc>
      </w:tr>
      <w:tr w:rsidR="007E6B2C" w:rsidRPr="007152C1" w14:paraId="1539D586"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56DE5E24" w14:textId="18810C9C"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5E0B6B09" w14:textId="29251C10"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2BCE76E7" w14:textId="29CD7458" w:rsidR="007E6B2C" w:rsidRPr="00D93798" w:rsidRDefault="007E6B2C" w:rsidP="007E6B2C">
            <w:pPr>
              <w:jc w:val="center"/>
              <w:rPr>
                <w:rFonts w:ascii="Arial" w:hAnsi="Arial" w:cs="Arial"/>
                <w:sz w:val="18"/>
                <w:szCs w:val="18"/>
              </w:rPr>
            </w:pPr>
            <w:r>
              <w:rPr>
                <w:rFonts w:ascii="Arial" w:hAnsi="Arial" w:cs="Arial"/>
                <w:sz w:val="18"/>
                <w:szCs w:val="18"/>
              </w:rPr>
              <w:t>D</w:t>
            </w:r>
          </w:p>
        </w:tc>
        <w:tc>
          <w:tcPr>
            <w:tcW w:w="1283" w:type="dxa"/>
            <w:tcBorders>
              <w:top w:val="single" w:sz="6" w:space="0" w:color="auto"/>
              <w:left w:val="single" w:sz="6" w:space="0" w:color="auto"/>
              <w:bottom w:val="single" w:sz="6" w:space="0" w:color="auto"/>
              <w:right w:val="single" w:sz="6" w:space="0" w:color="auto"/>
            </w:tcBorders>
          </w:tcPr>
          <w:p w14:paraId="5FBB8E25" w14:textId="49F52C3C" w:rsidR="007E6B2C" w:rsidRPr="00D93798" w:rsidRDefault="007E6B2C" w:rsidP="007E6B2C">
            <w:pPr>
              <w:jc w:val="center"/>
              <w:rPr>
                <w:rFonts w:ascii="Arial" w:hAnsi="Arial" w:cs="Arial"/>
                <w:sz w:val="18"/>
                <w:szCs w:val="18"/>
              </w:rPr>
            </w:pPr>
            <w:r>
              <w:rPr>
                <w:rFonts w:ascii="Arial" w:hAnsi="Arial" w:cs="Arial"/>
                <w:sz w:val="18"/>
                <w:szCs w:val="18"/>
              </w:rPr>
              <w:t>Product Type Code</w:t>
            </w:r>
          </w:p>
        </w:tc>
        <w:tc>
          <w:tcPr>
            <w:tcW w:w="1260" w:type="dxa"/>
            <w:tcBorders>
              <w:top w:val="single" w:sz="6" w:space="0" w:color="auto"/>
              <w:left w:val="single" w:sz="6" w:space="0" w:color="auto"/>
              <w:bottom w:val="single" w:sz="6" w:space="0" w:color="auto"/>
              <w:right w:val="single" w:sz="6" w:space="0" w:color="auto"/>
            </w:tcBorders>
          </w:tcPr>
          <w:p w14:paraId="3948FCDB" w14:textId="57B2E500"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019281D" w14:textId="16D1A7B3" w:rsidR="007E6B2C" w:rsidRPr="00D93798" w:rsidRDefault="007E6B2C" w:rsidP="007E6B2C">
            <w:pPr>
              <w:jc w:val="center"/>
              <w:rPr>
                <w:rFonts w:ascii="Arial" w:hAnsi="Arial" w:cs="Arial"/>
                <w:sz w:val="18"/>
                <w:szCs w:val="18"/>
              </w:rPr>
            </w:pPr>
            <w:r w:rsidRPr="00D93798">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024B01C" w14:textId="041B446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1A35173B" w14:textId="251B52F2"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77045300" w14:textId="77777777" w:rsidR="007E6B2C" w:rsidRDefault="007E6B2C" w:rsidP="007E6B2C">
            <w:pPr>
              <w:rPr>
                <w:rFonts w:ascii="Arial" w:hAnsi="Arial" w:cs="Arial"/>
                <w:bCs/>
                <w:sz w:val="18"/>
                <w:szCs w:val="18"/>
              </w:rPr>
            </w:pPr>
            <w:r>
              <w:rPr>
                <w:rFonts w:ascii="Arial" w:hAnsi="Arial" w:cs="Arial"/>
                <w:bCs/>
                <w:sz w:val="18"/>
                <w:szCs w:val="18"/>
              </w:rPr>
              <w:t>Product Type.</w:t>
            </w:r>
          </w:p>
          <w:p w14:paraId="7BF110A5" w14:textId="77777777" w:rsidR="007E6B2C" w:rsidRDefault="007E6B2C" w:rsidP="007E6B2C">
            <w:pPr>
              <w:rPr>
                <w:rFonts w:ascii="Arial" w:hAnsi="Arial" w:cs="Arial"/>
                <w:bCs/>
                <w:sz w:val="18"/>
                <w:szCs w:val="18"/>
              </w:rPr>
            </w:pPr>
          </w:p>
          <w:p w14:paraId="01C8F3B3" w14:textId="7A66A0FF" w:rsidR="007E6B2C" w:rsidRPr="00D93798" w:rsidRDefault="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.3 on the Reference Tables tab.</w:t>
            </w:r>
          </w:p>
        </w:tc>
      </w:tr>
      <w:tr w:rsidR="007E6B2C" w:rsidRPr="007152C1" w14:paraId="5921FCE5"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66C131B3" w14:textId="4E3B61DA" w:rsidR="007E6B2C" w:rsidRPr="00D93798" w:rsidRDefault="007E6B2C" w:rsidP="007E6B2C">
            <w:pPr>
              <w:jc w:val="center"/>
              <w:rPr>
                <w:rFonts w:ascii="Arial" w:hAnsi="Arial" w:cs="Arial"/>
                <w:sz w:val="18"/>
                <w:szCs w:val="18"/>
              </w:rPr>
            </w:pPr>
            <w:r>
              <w:rPr>
                <w:rFonts w:ascii="Arial" w:hAnsi="Arial" w:cs="Arial"/>
                <w:sz w:val="18"/>
                <w:szCs w:val="18"/>
              </w:rPr>
              <w:lastRenderedPageBreak/>
              <w:t>OP</w:t>
            </w:r>
          </w:p>
        </w:tc>
        <w:tc>
          <w:tcPr>
            <w:tcW w:w="1103" w:type="dxa"/>
            <w:tcBorders>
              <w:top w:val="single" w:sz="6" w:space="0" w:color="auto"/>
              <w:left w:val="single" w:sz="6" w:space="0" w:color="auto"/>
              <w:bottom w:val="single" w:sz="6" w:space="0" w:color="auto"/>
              <w:right w:val="single" w:sz="6" w:space="0" w:color="auto"/>
            </w:tcBorders>
          </w:tcPr>
          <w:p w14:paraId="281187B2" w14:textId="376C3F43"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C9C7D77" w14:textId="0EBE421F" w:rsidR="007E6B2C" w:rsidRPr="00D93798" w:rsidRDefault="00F33D39" w:rsidP="007E6B2C">
            <w:pPr>
              <w:jc w:val="center"/>
              <w:rPr>
                <w:rFonts w:ascii="Arial" w:hAnsi="Arial" w:cs="Arial"/>
                <w:sz w:val="18"/>
                <w:szCs w:val="18"/>
              </w:rPr>
            </w:pPr>
            <w:r>
              <w:rPr>
                <w:rFonts w:ascii="Arial" w:hAnsi="Arial" w:cs="Arial"/>
                <w:sz w:val="18"/>
                <w:szCs w:val="18"/>
              </w:rPr>
              <w:t>F</w:t>
            </w:r>
          </w:p>
        </w:tc>
        <w:tc>
          <w:tcPr>
            <w:tcW w:w="1283" w:type="dxa"/>
            <w:tcBorders>
              <w:top w:val="single" w:sz="6" w:space="0" w:color="auto"/>
              <w:left w:val="single" w:sz="6" w:space="0" w:color="auto"/>
              <w:bottom w:val="single" w:sz="6" w:space="0" w:color="auto"/>
              <w:right w:val="single" w:sz="6" w:space="0" w:color="auto"/>
            </w:tcBorders>
          </w:tcPr>
          <w:p w14:paraId="427EFCEE" w14:textId="61660459" w:rsidR="007E6B2C" w:rsidRPr="00D93798" w:rsidRDefault="007E6B2C" w:rsidP="007E6B2C">
            <w:pPr>
              <w:jc w:val="center"/>
              <w:rPr>
                <w:rFonts w:ascii="Arial" w:hAnsi="Arial" w:cs="Arial"/>
                <w:sz w:val="18"/>
                <w:szCs w:val="18"/>
              </w:rPr>
            </w:pPr>
            <w:r>
              <w:rPr>
                <w:rFonts w:ascii="Arial" w:hAnsi="Arial" w:cs="Arial"/>
                <w:sz w:val="18"/>
                <w:szCs w:val="18"/>
              </w:rPr>
              <w:t>Service</w:t>
            </w:r>
          </w:p>
        </w:tc>
        <w:tc>
          <w:tcPr>
            <w:tcW w:w="1260" w:type="dxa"/>
            <w:tcBorders>
              <w:top w:val="single" w:sz="6" w:space="0" w:color="auto"/>
              <w:left w:val="single" w:sz="6" w:space="0" w:color="auto"/>
              <w:bottom w:val="single" w:sz="6" w:space="0" w:color="auto"/>
              <w:right w:val="single" w:sz="6" w:space="0" w:color="auto"/>
            </w:tcBorders>
          </w:tcPr>
          <w:p w14:paraId="1CBA16AC" w14:textId="05081017"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A0480A7" w14:textId="220B00E0" w:rsidR="007E6B2C" w:rsidRPr="00D93798" w:rsidRDefault="007E6B2C" w:rsidP="007E6B2C">
            <w:pPr>
              <w:jc w:val="center"/>
              <w:rPr>
                <w:rFonts w:ascii="Arial" w:hAnsi="Arial" w:cs="Arial"/>
                <w:sz w:val="18"/>
                <w:szCs w:val="18"/>
              </w:rPr>
            </w:pPr>
            <w:r w:rsidRPr="00D93798">
              <w:rPr>
                <w:rFonts w:ascii="Arial" w:hAnsi="Arial" w:cs="Arial"/>
                <w:sz w:val="18"/>
                <w:szCs w:val="18"/>
              </w:rPr>
              <w:t>Text</w:t>
            </w:r>
          </w:p>
        </w:tc>
        <w:tc>
          <w:tcPr>
            <w:tcW w:w="1260" w:type="dxa"/>
            <w:tcBorders>
              <w:top w:val="single" w:sz="6" w:space="0" w:color="auto"/>
              <w:left w:val="single" w:sz="6" w:space="0" w:color="auto"/>
              <w:bottom w:val="single" w:sz="6" w:space="0" w:color="auto"/>
              <w:right w:val="single" w:sz="6" w:space="0" w:color="auto"/>
            </w:tcBorders>
          </w:tcPr>
          <w:p w14:paraId="09C85B0A" w14:textId="1B2D5809" w:rsidR="007E6B2C" w:rsidRPr="00D93798" w:rsidRDefault="007E6B2C" w:rsidP="007E6B2C">
            <w:pPr>
              <w:jc w:val="center"/>
              <w:rPr>
                <w:rFonts w:ascii="Arial" w:hAnsi="Arial" w:cs="Arial"/>
                <w:sz w:val="18"/>
                <w:szCs w:val="18"/>
              </w:rPr>
            </w:pPr>
            <w:r>
              <w:rPr>
                <w:rFonts w:ascii="Arial" w:hAnsi="Arial" w:cs="Arial"/>
                <w:sz w:val="18"/>
                <w:szCs w:val="18"/>
              </w:rPr>
              <w:t xml:space="preserve">Free </w:t>
            </w:r>
            <w:r w:rsidRPr="00D93798">
              <w:rPr>
                <w:rFonts w:ascii="Arial" w:hAnsi="Arial" w:cs="Arial"/>
                <w:sz w:val="18"/>
                <w:szCs w:val="18"/>
              </w:rPr>
              <w:t>Text</w:t>
            </w:r>
          </w:p>
        </w:tc>
        <w:tc>
          <w:tcPr>
            <w:tcW w:w="1080" w:type="dxa"/>
            <w:tcBorders>
              <w:top w:val="single" w:sz="6" w:space="0" w:color="auto"/>
              <w:left w:val="single" w:sz="6" w:space="0" w:color="auto"/>
              <w:bottom w:val="single" w:sz="6" w:space="0" w:color="auto"/>
              <w:right w:val="single" w:sz="6" w:space="0" w:color="auto"/>
            </w:tcBorders>
          </w:tcPr>
          <w:p w14:paraId="0C521AEE" w14:textId="35970FC3" w:rsidR="007E6B2C" w:rsidRPr="00D93798" w:rsidRDefault="007E6B2C" w:rsidP="007E6B2C">
            <w:pPr>
              <w:jc w:val="center"/>
              <w:rPr>
                <w:rFonts w:ascii="Arial" w:hAnsi="Arial" w:cs="Arial"/>
                <w:sz w:val="18"/>
                <w:szCs w:val="18"/>
              </w:rPr>
            </w:pPr>
            <w:r>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44DFCF56" w14:textId="7F44720B" w:rsidR="007E6B2C" w:rsidRPr="00D93798" w:rsidRDefault="007E6B2C" w:rsidP="007E6B2C">
            <w:pPr>
              <w:rPr>
                <w:rFonts w:ascii="Arial" w:hAnsi="Arial" w:cs="Arial"/>
                <w:bCs/>
                <w:sz w:val="18"/>
                <w:szCs w:val="18"/>
              </w:rPr>
            </w:pPr>
            <w:r w:rsidRPr="00D93798">
              <w:rPr>
                <w:rFonts w:ascii="Arial" w:hAnsi="Arial" w:cs="Arial"/>
                <w:bCs/>
                <w:sz w:val="18"/>
                <w:szCs w:val="18"/>
              </w:rPr>
              <w:t xml:space="preserve">A unique description describing the service </w:t>
            </w:r>
            <w:r>
              <w:rPr>
                <w:rFonts w:ascii="Arial" w:hAnsi="Arial" w:cs="Arial"/>
                <w:bCs/>
                <w:sz w:val="18"/>
                <w:szCs w:val="18"/>
              </w:rPr>
              <w:t>group.</w:t>
            </w:r>
          </w:p>
        </w:tc>
      </w:tr>
      <w:tr w:rsidR="007E6B2C" w:rsidRPr="007152C1" w14:paraId="05F966AC"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07EFB131" w14:textId="7FD817C3"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71C8C1D5" w14:textId="16458F9D"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16D49AB" w14:textId="33FB574F" w:rsidR="007E6B2C" w:rsidRPr="00D93798" w:rsidRDefault="00F33D39" w:rsidP="007E6B2C">
            <w:pPr>
              <w:jc w:val="center"/>
              <w:rPr>
                <w:rFonts w:ascii="Arial" w:hAnsi="Arial" w:cs="Arial"/>
                <w:sz w:val="18"/>
                <w:szCs w:val="18"/>
              </w:rPr>
            </w:pPr>
            <w:r>
              <w:rPr>
                <w:rFonts w:ascii="Arial" w:hAnsi="Arial" w:cs="Arial"/>
                <w:sz w:val="18"/>
                <w:szCs w:val="18"/>
              </w:rPr>
              <w:t>G</w:t>
            </w:r>
          </w:p>
        </w:tc>
        <w:tc>
          <w:tcPr>
            <w:tcW w:w="1283" w:type="dxa"/>
            <w:tcBorders>
              <w:top w:val="single" w:sz="6" w:space="0" w:color="auto"/>
              <w:left w:val="single" w:sz="6" w:space="0" w:color="auto"/>
              <w:bottom w:val="single" w:sz="6" w:space="0" w:color="auto"/>
              <w:right w:val="single" w:sz="6" w:space="0" w:color="auto"/>
            </w:tcBorders>
          </w:tcPr>
          <w:p w14:paraId="7F319EF0" w14:textId="61D96F7E" w:rsidR="007E6B2C" w:rsidRPr="00D93798" w:rsidRDefault="007E6B2C" w:rsidP="007E6B2C">
            <w:pPr>
              <w:jc w:val="center"/>
              <w:rPr>
                <w:rFonts w:ascii="Arial" w:hAnsi="Arial" w:cs="Arial"/>
                <w:sz w:val="18"/>
                <w:szCs w:val="18"/>
              </w:rPr>
            </w:pPr>
            <w:r>
              <w:rPr>
                <w:rFonts w:ascii="Arial" w:hAnsi="Arial" w:cs="Arial"/>
                <w:sz w:val="18"/>
                <w:szCs w:val="18"/>
              </w:rPr>
              <w:t>Multiplier Indicator</w:t>
            </w:r>
          </w:p>
        </w:tc>
        <w:tc>
          <w:tcPr>
            <w:tcW w:w="1260" w:type="dxa"/>
            <w:tcBorders>
              <w:top w:val="single" w:sz="6" w:space="0" w:color="auto"/>
              <w:left w:val="single" w:sz="6" w:space="0" w:color="auto"/>
              <w:bottom w:val="single" w:sz="6" w:space="0" w:color="auto"/>
              <w:right w:val="single" w:sz="6" w:space="0" w:color="auto"/>
            </w:tcBorders>
          </w:tcPr>
          <w:p w14:paraId="2DAB5573" w14:textId="215DE2BA"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0F9E4C9" w14:textId="5965B432" w:rsidR="007E6B2C" w:rsidRPr="00D93798" w:rsidRDefault="007E6B2C" w:rsidP="007E6B2C">
            <w:pPr>
              <w:jc w:val="center"/>
              <w:rPr>
                <w:rFonts w:ascii="Arial" w:hAnsi="Arial" w:cs="Arial"/>
                <w:sz w:val="18"/>
                <w:szCs w:val="18"/>
              </w:rPr>
            </w:pPr>
            <w:r>
              <w:rPr>
                <w:rFonts w:ascii="Arial" w:hAnsi="Arial" w:cs="Arial"/>
                <w:sz w:val="18"/>
                <w:szCs w:val="18"/>
              </w:rPr>
              <w:t>Integer</w:t>
            </w:r>
          </w:p>
        </w:tc>
        <w:tc>
          <w:tcPr>
            <w:tcW w:w="1260" w:type="dxa"/>
            <w:tcBorders>
              <w:top w:val="single" w:sz="6" w:space="0" w:color="auto"/>
              <w:left w:val="single" w:sz="6" w:space="0" w:color="auto"/>
              <w:bottom w:val="single" w:sz="6" w:space="0" w:color="auto"/>
              <w:right w:val="single" w:sz="6" w:space="0" w:color="auto"/>
            </w:tcBorders>
          </w:tcPr>
          <w:p w14:paraId="2DCABBDA" w14:textId="2DBEBACE"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F01EC6D" w14:textId="0911461C"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11E02A8"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1758A6A6" w14:textId="77777777" w:rsidR="007E6B2C" w:rsidRPr="00D93798" w:rsidRDefault="007E6B2C" w:rsidP="007E6B2C">
            <w:pPr>
              <w:rPr>
                <w:rFonts w:ascii="Arial" w:hAnsi="Arial" w:cs="Arial"/>
                <w:bCs/>
                <w:sz w:val="18"/>
                <w:szCs w:val="18"/>
              </w:rPr>
            </w:pPr>
          </w:p>
          <w:p w14:paraId="3EFDE9F3" w14:textId="3BE71352"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24F5B3D6" w14:textId="77777777" w:rsidR="00BC6843" w:rsidRDefault="00BC6843" w:rsidP="007E6B2C">
            <w:pPr>
              <w:rPr>
                <w:rFonts w:ascii="Arial" w:hAnsi="Arial" w:cs="Arial"/>
                <w:bCs/>
                <w:sz w:val="18"/>
                <w:szCs w:val="18"/>
              </w:rPr>
            </w:pPr>
          </w:p>
          <w:p w14:paraId="6FC9298B" w14:textId="79242FA4" w:rsidR="00BC6843" w:rsidRDefault="00BC6843" w:rsidP="4908C82E">
            <w:pPr>
              <w:rPr>
                <w:rFonts w:ascii="Arial" w:hAnsi="Arial" w:cs="Arial"/>
                <w:sz w:val="18"/>
                <w:szCs w:val="18"/>
              </w:rPr>
            </w:pPr>
            <w:r w:rsidRPr="4908C82E">
              <w:rPr>
                <w:rFonts w:ascii="Arial" w:hAnsi="Arial" w:cs="Arial"/>
                <w:sz w:val="18"/>
                <w:szCs w:val="18"/>
              </w:rPr>
              <w:t>In instances where there is no claims data reported in a given year,</w:t>
            </w:r>
            <w:r w:rsidR="4EEA8414" w:rsidRPr="4908C82E">
              <w:rPr>
                <w:rFonts w:ascii="Arial" w:hAnsi="Arial" w:cs="Arial"/>
                <w:sz w:val="18"/>
                <w:szCs w:val="18"/>
              </w:rPr>
              <w:t xml:space="preserve"> do not</w:t>
            </w:r>
            <w:r w:rsidRPr="4908C82E">
              <w:rPr>
                <w:rFonts w:ascii="Arial" w:hAnsi="Arial" w:cs="Arial"/>
                <w:sz w:val="18"/>
                <w:szCs w:val="18"/>
              </w:rPr>
              <w:t xml:space="preserve"> report </w:t>
            </w:r>
            <w:r w:rsidR="7785EEB1" w:rsidRPr="4908C82E">
              <w:rPr>
                <w:rFonts w:ascii="Arial" w:hAnsi="Arial" w:cs="Arial"/>
                <w:sz w:val="18"/>
                <w:szCs w:val="18"/>
              </w:rPr>
              <w:t xml:space="preserve">a </w:t>
            </w:r>
            <w:r w:rsidRPr="4908C82E">
              <w:rPr>
                <w:rFonts w:ascii="Arial" w:hAnsi="Arial" w:cs="Arial"/>
                <w:sz w:val="18"/>
                <w:szCs w:val="18"/>
              </w:rPr>
              <w:t>multiplier value</w:t>
            </w:r>
            <w:r w:rsidR="5505BF1F" w:rsidRPr="4908C82E">
              <w:rPr>
                <w:rFonts w:ascii="Arial" w:hAnsi="Arial" w:cs="Arial"/>
                <w:sz w:val="18"/>
                <w:szCs w:val="18"/>
              </w:rPr>
              <w:t>.</w:t>
            </w:r>
          </w:p>
          <w:p w14:paraId="2E04D93C" w14:textId="77777777" w:rsidR="007E6B2C" w:rsidRDefault="007E6B2C" w:rsidP="007E6B2C">
            <w:pPr>
              <w:rPr>
                <w:rFonts w:ascii="Arial" w:hAnsi="Arial" w:cs="Arial"/>
                <w:bCs/>
                <w:sz w:val="18"/>
                <w:szCs w:val="18"/>
              </w:rPr>
            </w:pPr>
          </w:p>
          <w:p w14:paraId="1767D8EB" w14:textId="4C4A8F6D" w:rsidR="007E6B2C" w:rsidRPr="00D93798" w:rsidRDefault="007E6B2C" w:rsidP="007E6B2C">
            <w:pPr>
              <w:rPr>
                <w:rFonts w:ascii="Arial" w:hAnsi="Arial" w:cs="Arial"/>
                <w:bCs/>
                <w:sz w:val="18"/>
                <w:szCs w:val="18"/>
              </w:rPr>
            </w:pPr>
            <w:r>
              <w:rPr>
                <w:rFonts w:ascii="Arial" w:hAnsi="Arial" w:cs="Arial"/>
                <w:bCs/>
                <w:sz w:val="18"/>
                <w:szCs w:val="18"/>
              </w:rPr>
              <w:t xml:space="preserve">See Table </w:t>
            </w:r>
            <w:r w:rsidR="0059179E">
              <w:rPr>
                <w:rFonts w:ascii="Arial" w:hAnsi="Arial" w:cs="Arial"/>
                <w:bCs/>
                <w:sz w:val="18"/>
                <w:szCs w:val="18"/>
              </w:rPr>
              <w:t>D</w:t>
            </w:r>
            <w:r>
              <w:rPr>
                <w:rFonts w:ascii="Arial" w:hAnsi="Arial" w:cs="Arial"/>
                <w:bCs/>
                <w:sz w:val="18"/>
                <w:szCs w:val="18"/>
              </w:rPr>
              <w:t>.4 on the Reference Tables tab.</w:t>
            </w:r>
          </w:p>
        </w:tc>
      </w:tr>
      <w:tr w:rsidR="007E6B2C" w:rsidRPr="007152C1" w14:paraId="7D59401A"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4BE489E8" w14:textId="636D31DF"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tcPr>
          <w:p w14:paraId="2E42B29B" w14:textId="5C5C41FA"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198B76AE" w14:textId="4C514671" w:rsidR="007E6B2C" w:rsidRPr="00D93798" w:rsidRDefault="00F33D39" w:rsidP="007E6B2C">
            <w:pPr>
              <w:jc w:val="center"/>
              <w:rPr>
                <w:rFonts w:ascii="Arial" w:hAnsi="Arial" w:cs="Arial"/>
                <w:sz w:val="18"/>
                <w:szCs w:val="18"/>
              </w:rPr>
            </w:pPr>
            <w:r>
              <w:rPr>
                <w:rFonts w:ascii="Arial" w:hAnsi="Arial" w:cs="Arial"/>
                <w:sz w:val="18"/>
                <w:szCs w:val="18"/>
              </w:rPr>
              <w:t>H</w:t>
            </w:r>
          </w:p>
        </w:tc>
        <w:tc>
          <w:tcPr>
            <w:tcW w:w="1283" w:type="dxa"/>
            <w:tcBorders>
              <w:top w:val="single" w:sz="6" w:space="0" w:color="auto"/>
              <w:left w:val="single" w:sz="6" w:space="0" w:color="auto"/>
              <w:bottom w:val="single" w:sz="6" w:space="0" w:color="auto"/>
              <w:right w:val="single" w:sz="6" w:space="0" w:color="auto"/>
            </w:tcBorders>
          </w:tcPr>
          <w:p w14:paraId="495E38AD" w14:textId="172A7C4A" w:rsidR="007E6B2C" w:rsidRPr="00D93798" w:rsidRDefault="007E6B2C" w:rsidP="007E6B2C">
            <w:pPr>
              <w:jc w:val="center"/>
              <w:rPr>
                <w:rFonts w:ascii="Arial" w:hAnsi="Arial" w:cs="Arial"/>
                <w:sz w:val="18"/>
                <w:szCs w:val="18"/>
              </w:rPr>
            </w:pPr>
            <w:r>
              <w:rPr>
                <w:rFonts w:ascii="Arial" w:hAnsi="Arial" w:cs="Arial"/>
                <w:sz w:val="18"/>
                <w:szCs w:val="18"/>
              </w:rPr>
              <w:t>Multiplier</w:t>
            </w:r>
          </w:p>
        </w:tc>
        <w:tc>
          <w:tcPr>
            <w:tcW w:w="1260" w:type="dxa"/>
            <w:tcBorders>
              <w:top w:val="single" w:sz="6" w:space="0" w:color="auto"/>
              <w:left w:val="single" w:sz="6" w:space="0" w:color="auto"/>
              <w:bottom w:val="single" w:sz="6" w:space="0" w:color="auto"/>
              <w:right w:val="single" w:sz="6" w:space="0" w:color="auto"/>
            </w:tcBorders>
          </w:tcPr>
          <w:p w14:paraId="3EB12821" w14:textId="29CFBF08"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2D5D4751" w14:textId="10B8AA06"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6E85B348" w14:textId="175F5750"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03712D08" w14:textId="3FA55534"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2CE06374" w14:textId="77777777" w:rsidR="007E6B2C" w:rsidRPr="00D93798" w:rsidRDefault="007E6B2C" w:rsidP="007E6B2C">
            <w:pPr>
              <w:rPr>
                <w:rFonts w:ascii="Arial" w:hAnsi="Arial" w:cs="Arial"/>
                <w:bCs/>
                <w:sz w:val="18"/>
                <w:szCs w:val="18"/>
              </w:rPr>
            </w:pPr>
            <w:r w:rsidRPr="00D93798">
              <w:rPr>
                <w:rFonts w:ascii="Arial" w:hAnsi="Arial" w:cs="Arial"/>
                <w:bCs/>
                <w:sz w:val="18"/>
                <w:szCs w:val="18"/>
              </w:rPr>
              <w:t>Payment Derived Service Multiplier Indicator.</w:t>
            </w:r>
          </w:p>
          <w:p w14:paraId="37541AEE" w14:textId="77777777" w:rsidR="007E6B2C" w:rsidRPr="00D93798" w:rsidRDefault="007E6B2C" w:rsidP="007E6B2C">
            <w:pPr>
              <w:rPr>
                <w:rFonts w:ascii="Arial" w:hAnsi="Arial" w:cs="Arial"/>
                <w:bCs/>
                <w:sz w:val="18"/>
                <w:szCs w:val="18"/>
              </w:rPr>
            </w:pPr>
          </w:p>
          <w:p w14:paraId="3099E25F" w14:textId="4F267324" w:rsidR="007E6B2C" w:rsidRDefault="007E6B2C" w:rsidP="007E6B2C">
            <w:pPr>
              <w:rPr>
                <w:rFonts w:ascii="Arial" w:hAnsi="Arial" w:cs="Arial"/>
                <w:bCs/>
                <w:sz w:val="18"/>
                <w:szCs w:val="18"/>
              </w:rPr>
            </w:pPr>
            <w:r w:rsidRPr="00D93798">
              <w:rPr>
                <w:rFonts w:ascii="Arial" w:hAnsi="Arial" w:cs="Arial"/>
                <w:bCs/>
                <w:sz w:val="18"/>
                <w:szCs w:val="18"/>
              </w:rPr>
              <w:t xml:space="preserve">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 there can only be one </w:t>
            </w:r>
            <w:r>
              <w:rPr>
                <w:rFonts w:ascii="Arial" w:hAnsi="Arial" w:cs="Arial"/>
                <w:bCs/>
                <w:sz w:val="18"/>
                <w:szCs w:val="18"/>
              </w:rPr>
              <w:t>Multiplier Indicator value.</w:t>
            </w:r>
          </w:p>
          <w:p w14:paraId="1A8E1C0C" w14:textId="77777777" w:rsidR="007E6B2C" w:rsidRDefault="007E6B2C" w:rsidP="007E6B2C">
            <w:pPr>
              <w:rPr>
                <w:rFonts w:ascii="Arial" w:hAnsi="Arial" w:cs="Arial"/>
                <w:bCs/>
                <w:sz w:val="18"/>
                <w:szCs w:val="18"/>
              </w:rPr>
            </w:pPr>
          </w:p>
          <w:p w14:paraId="315DFA54" w14:textId="33265981" w:rsidR="007E6B2C" w:rsidRPr="00D93798" w:rsidRDefault="007E6B2C" w:rsidP="007E6B2C">
            <w:pPr>
              <w:rPr>
                <w:rFonts w:ascii="Arial" w:hAnsi="Arial" w:cs="Arial"/>
                <w:bCs/>
                <w:sz w:val="18"/>
                <w:szCs w:val="18"/>
              </w:rPr>
            </w:pPr>
            <w:r w:rsidRPr="00D93798">
              <w:rPr>
                <w:rFonts w:ascii="Arial" w:hAnsi="Arial" w:cs="Arial"/>
                <w:bCs/>
                <w:sz w:val="18"/>
                <w:szCs w:val="18"/>
              </w:rPr>
              <w:t>Multiplier value must fall in range: ‘0.1’-‘20’</w:t>
            </w:r>
          </w:p>
        </w:tc>
      </w:tr>
      <w:tr w:rsidR="007E6B2C" w:rsidRPr="007152C1" w14:paraId="6146DEFE"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shd w:val="clear" w:color="auto" w:fill="auto"/>
          </w:tcPr>
          <w:p w14:paraId="63FD329C" w14:textId="0BDD441C" w:rsidR="007E6B2C" w:rsidRPr="00D93798" w:rsidRDefault="007E6B2C" w:rsidP="007E6B2C">
            <w:pPr>
              <w:jc w:val="center"/>
              <w:rPr>
                <w:rFonts w:ascii="Arial" w:hAnsi="Arial" w:cs="Arial"/>
                <w:sz w:val="18"/>
                <w:szCs w:val="18"/>
              </w:rPr>
            </w:pPr>
            <w:r>
              <w:rPr>
                <w:rFonts w:ascii="Arial" w:hAnsi="Arial" w:cs="Arial"/>
                <w:sz w:val="18"/>
                <w:szCs w:val="18"/>
              </w:rPr>
              <w:t>OP</w:t>
            </w: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2E133ED1" w14:textId="428AA676"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shd w:val="clear" w:color="auto" w:fill="auto"/>
          </w:tcPr>
          <w:p w14:paraId="038B6C9B" w14:textId="65084799" w:rsidR="007E6B2C" w:rsidRPr="00D93798" w:rsidRDefault="00F33D39" w:rsidP="007E6B2C">
            <w:pPr>
              <w:jc w:val="center"/>
              <w:rPr>
                <w:rFonts w:ascii="Arial" w:hAnsi="Arial" w:cs="Arial"/>
                <w:sz w:val="18"/>
                <w:szCs w:val="18"/>
              </w:rPr>
            </w:pPr>
            <w:r>
              <w:rPr>
                <w:rFonts w:ascii="Arial" w:hAnsi="Arial" w:cs="Arial"/>
                <w:sz w:val="18"/>
                <w:szCs w:val="18"/>
              </w:rPr>
              <w:t>I</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19ECDAEC" w14:textId="27DA012E" w:rsidR="007E6B2C" w:rsidRPr="00D93798" w:rsidRDefault="007E6B2C" w:rsidP="007E6B2C">
            <w:pPr>
              <w:jc w:val="center"/>
              <w:rPr>
                <w:rFonts w:ascii="Arial" w:hAnsi="Arial" w:cs="Arial"/>
                <w:sz w:val="18"/>
                <w:szCs w:val="18"/>
              </w:rPr>
            </w:pPr>
            <w:r>
              <w:rPr>
                <w:rFonts w:ascii="Arial" w:hAnsi="Arial" w:cs="Arial"/>
                <w:sz w:val="18"/>
                <w:szCs w:val="18"/>
              </w:rPr>
              <w:t>Claims Payments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97600F" w14:textId="21E057FF"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04CEE81" w14:textId="716BFCAD"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266702E" w14:textId="56C9772D"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F80DB3D" w14:textId="09EDDCC8"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shd w:val="clear" w:color="auto" w:fill="auto"/>
          </w:tcPr>
          <w:p w14:paraId="053B998F" w14:textId="4C394920" w:rsidR="007E6B2C" w:rsidRPr="00D93798" w:rsidRDefault="007E6B2C" w:rsidP="007E6B2C">
            <w:pPr>
              <w:rPr>
                <w:rFonts w:ascii="Arial" w:hAnsi="Arial" w:cs="Arial"/>
                <w:bCs/>
                <w:sz w:val="18"/>
                <w:szCs w:val="18"/>
              </w:rPr>
            </w:pPr>
            <w:r w:rsidRPr="00D93798">
              <w:rPr>
                <w:rFonts w:ascii="Arial" w:hAnsi="Arial" w:cs="Arial"/>
                <w:bCs/>
                <w:sz w:val="18"/>
                <w:szCs w:val="18"/>
              </w:rPr>
              <w:t>The sum of all Claims Related Payments</w:t>
            </w:r>
            <w:r>
              <w:rPr>
                <w:rFonts w:ascii="Arial" w:hAnsi="Arial" w:cs="Arial"/>
                <w:bCs/>
                <w:sz w:val="18"/>
                <w:szCs w:val="18"/>
              </w:rPr>
              <w:t xml:space="preserve"> 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p w14:paraId="5A7EBF91" w14:textId="77777777" w:rsidR="007E6B2C" w:rsidRPr="00D93798" w:rsidRDefault="007E6B2C" w:rsidP="007E6B2C">
            <w:pPr>
              <w:rPr>
                <w:rFonts w:ascii="Arial" w:hAnsi="Arial" w:cs="Arial"/>
                <w:bCs/>
                <w:sz w:val="18"/>
                <w:szCs w:val="18"/>
              </w:rPr>
            </w:pPr>
          </w:p>
          <w:p w14:paraId="5D675C25" w14:textId="4B87F57E" w:rsidR="007E6B2C" w:rsidRPr="00D93798" w:rsidRDefault="007E6B2C" w:rsidP="007E6B2C">
            <w:pPr>
              <w:rPr>
                <w:rFonts w:ascii="Arial" w:hAnsi="Arial" w:cs="Arial"/>
                <w:bCs/>
                <w:sz w:val="18"/>
                <w:szCs w:val="18"/>
              </w:rPr>
            </w:pPr>
            <w:r w:rsidRPr="00D93798">
              <w:rPr>
                <w:rFonts w:ascii="Arial" w:hAnsi="Arial" w:cs="Arial"/>
                <w:bCs/>
                <w:sz w:val="18"/>
                <w:szCs w:val="18"/>
              </w:rPr>
              <w:t>No negative values.</w:t>
            </w:r>
          </w:p>
        </w:tc>
      </w:tr>
      <w:tr w:rsidR="007E6B2C" w:rsidRPr="007152C1" w14:paraId="799DCBD0" w14:textId="77777777" w:rsidTr="4908C82E">
        <w:trPr>
          <w:trHeight w:val="282"/>
        </w:trPr>
        <w:tc>
          <w:tcPr>
            <w:tcW w:w="625" w:type="dxa"/>
            <w:tcBorders>
              <w:top w:val="single" w:sz="6" w:space="0" w:color="auto"/>
              <w:left w:val="single" w:sz="4" w:space="0" w:color="auto"/>
              <w:bottom w:val="single" w:sz="6" w:space="0" w:color="auto"/>
              <w:right w:val="single" w:sz="6" w:space="0" w:color="auto"/>
            </w:tcBorders>
          </w:tcPr>
          <w:p w14:paraId="76E59129" w14:textId="6144734B" w:rsidR="007E6B2C" w:rsidRPr="00D93798" w:rsidRDefault="007E6B2C" w:rsidP="007E6B2C">
            <w:pPr>
              <w:jc w:val="center"/>
              <w:rPr>
                <w:rFonts w:ascii="Arial" w:hAnsi="Arial" w:cs="Arial"/>
                <w:sz w:val="18"/>
                <w:szCs w:val="18"/>
              </w:rPr>
            </w:pPr>
            <w:r>
              <w:rPr>
                <w:rFonts w:ascii="Arial" w:hAnsi="Arial" w:cs="Arial"/>
                <w:sz w:val="18"/>
                <w:szCs w:val="18"/>
              </w:rPr>
              <w:lastRenderedPageBreak/>
              <w:t>OP</w:t>
            </w:r>
          </w:p>
        </w:tc>
        <w:tc>
          <w:tcPr>
            <w:tcW w:w="1103" w:type="dxa"/>
            <w:tcBorders>
              <w:top w:val="single" w:sz="6" w:space="0" w:color="auto"/>
              <w:left w:val="single" w:sz="6" w:space="0" w:color="auto"/>
              <w:bottom w:val="single" w:sz="6" w:space="0" w:color="auto"/>
              <w:right w:val="single" w:sz="6" w:space="0" w:color="auto"/>
            </w:tcBorders>
          </w:tcPr>
          <w:p w14:paraId="2AD2F0E3" w14:textId="247DD414" w:rsidR="007E6B2C" w:rsidRPr="00D93798" w:rsidRDefault="007E6B2C" w:rsidP="007E6B2C">
            <w:pPr>
              <w:jc w:val="center"/>
              <w:rPr>
                <w:rFonts w:ascii="Arial" w:hAnsi="Arial" w:cs="Arial"/>
                <w:sz w:val="18"/>
                <w:szCs w:val="18"/>
              </w:rPr>
            </w:pPr>
            <w:r>
              <w:rPr>
                <w:rFonts w:ascii="Arial" w:hAnsi="Arial" w:cs="Arial"/>
                <w:sz w:val="18"/>
                <w:szCs w:val="18"/>
              </w:rPr>
              <w:t>Other Provider Data</w:t>
            </w:r>
          </w:p>
        </w:tc>
        <w:tc>
          <w:tcPr>
            <w:tcW w:w="517" w:type="dxa"/>
            <w:tcBorders>
              <w:top w:val="single" w:sz="6" w:space="0" w:color="auto"/>
              <w:left w:val="single" w:sz="6" w:space="0" w:color="auto"/>
              <w:bottom w:val="single" w:sz="6" w:space="0" w:color="auto"/>
              <w:right w:val="single" w:sz="6" w:space="0" w:color="auto"/>
            </w:tcBorders>
          </w:tcPr>
          <w:p w14:paraId="5FFEB865" w14:textId="09AF9DAA" w:rsidR="007E6B2C" w:rsidRPr="00D93798" w:rsidRDefault="00F33D39" w:rsidP="007E6B2C">
            <w:pPr>
              <w:jc w:val="center"/>
              <w:rPr>
                <w:rFonts w:ascii="Arial" w:hAnsi="Arial" w:cs="Arial"/>
                <w:sz w:val="18"/>
                <w:szCs w:val="18"/>
              </w:rPr>
            </w:pPr>
            <w:r>
              <w:rPr>
                <w:rFonts w:ascii="Arial" w:hAnsi="Arial" w:cs="Arial"/>
                <w:sz w:val="18"/>
                <w:szCs w:val="18"/>
              </w:rPr>
              <w:t>J</w:t>
            </w:r>
          </w:p>
        </w:tc>
        <w:tc>
          <w:tcPr>
            <w:tcW w:w="1283" w:type="dxa"/>
            <w:tcBorders>
              <w:top w:val="single" w:sz="6" w:space="0" w:color="auto"/>
              <w:left w:val="single" w:sz="6" w:space="0" w:color="auto"/>
              <w:bottom w:val="single" w:sz="6" w:space="0" w:color="auto"/>
              <w:right w:val="single" w:sz="6" w:space="0" w:color="auto"/>
            </w:tcBorders>
          </w:tcPr>
          <w:p w14:paraId="53531701" w14:textId="3AEB4326" w:rsidR="007E6B2C" w:rsidRPr="00D93798" w:rsidRDefault="007E6B2C" w:rsidP="007E6B2C">
            <w:pPr>
              <w:jc w:val="center"/>
              <w:rPr>
                <w:rFonts w:ascii="Arial" w:hAnsi="Arial" w:cs="Arial"/>
                <w:sz w:val="18"/>
                <w:szCs w:val="18"/>
              </w:rPr>
            </w:pPr>
            <w:r>
              <w:rPr>
                <w:rFonts w:ascii="Arial" w:hAnsi="Arial" w:cs="Arial"/>
                <w:sz w:val="18"/>
                <w:szCs w:val="18"/>
              </w:rPr>
              <w:t>Non Claims Payments</w:t>
            </w:r>
          </w:p>
        </w:tc>
        <w:tc>
          <w:tcPr>
            <w:tcW w:w="1260" w:type="dxa"/>
            <w:tcBorders>
              <w:top w:val="single" w:sz="6" w:space="0" w:color="auto"/>
              <w:left w:val="single" w:sz="6" w:space="0" w:color="auto"/>
              <w:bottom w:val="single" w:sz="6" w:space="0" w:color="auto"/>
              <w:right w:val="single" w:sz="6" w:space="0" w:color="auto"/>
            </w:tcBorders>
          </w:tcPr>
          <w:p w14:paraId="35A6688A" w14:textId="369C8D0E" w:rsidR="007E6B2C" w:rsidRPr="00D93798" w:rsidRDefault="00436363" w:rsidP="007E6B2C">
            <w:pPr>
              <w:jc w:val="center"/>
              <w:rPr>
                <w:rFonts w:ascii="Arial" w:hAnsi="Arial" w:cs="Arial"/>
                <w:sz w:val="18"/>
                <w:szCs w:val="18"/>
              </w:rPr>
            </w:pPr>
            <w:r>
              <w:rPr>
                <w:rFonts w:ascii="Arial" w:hAnsi="Arial" w:cs="Arial"/>
                <w:sz w:val="18"/>
                <w:szCs w:val="18"/>
              </w:rPr>
              <w:t>05/04/2020</w:t>
            </w:r>
          </w:p>
        </w:tc>
        <w:tc>
          <w:tcPr>
            <w:tcW w:w="900" w:type="dxa"/>
            <w:tcBorders>
              <w:top w:val="single" w:sz="6" w:space="0" w:color="auto"/>
              <w:left w:val="single" w:sz="6" w:space="0" w:color="auto"/>
              <w:bottom w:val="single" w:sz="6" w:space="0" w:color="auto"/>
              <w:right w:val="single" w:sz="6" w:space="0" w:color="auto"/>
            </w:tcBorders>
          </w:tcPr>
          <w:p w14:paraId="4C05548B" w14:textId="1F2902D8" w:rsidR="007E6B2C" w:rsidRPr="00D93798" w:rsidRDefault="007E6B2C" w:rsidP="007E6B2C">
            <w:pPr>
              <w:jc w:val="center"/>
              <w:rPr>
                <w:rFonts w:ascii="Arial" w:hAnsi="Arial" w:cs="Arial"/>
                <w:sz w:val="18"/>
                <w:szCs w:val="18"/>
              </w:rPr>
            </w:pPr>
            <w:r>
              <w:rPr>
                <w:rFonts w:ascii="Arial" w:hAnsi="Arial" w:cs="Arial"/>
                <w:sz w:val="18"/>
                <w:szCs w:val="18"/>
              </w:rPr>
              <w:t>Number</w:t>
            </w:r>
          </w:p>
        </w:tc>
        <w:tc>
          <w:tcPr>
            <w:tcW w:w="1260" w:type="dxa"/>
            <w:tcBorders>
              <w:top w:val="single" w:sz="6" w:space="0" w:color="auto"/>
              <w:left w:val="single" w:sz="6" w:space="0" w:color="auto"/>
              <w:bottom w:val="single" w:sz="6" w:space="0" w:color="auto"/>
              <w:right w:val="single" w:sz="6" w:space="0" w:color="auto"/>
            </w:tcBorders>
          </w:tcPr>
          <w:p w14:paraId="03892D3E" w14:textId="035ED624" w:rsidR="007E6B2C" w:rsidRPr="00D93798" w:rsidRDefault="007E6B2C" w:rsidP="007E6B2C">
            <w:pPr>
              <w:jc w:val="center"/>
              <w:rPr>
                <w:rFonts w:ascii="Arial" w:hAnsi="Arial" w:cs="Arial"/>
                <w:sz w:val="18"/>
                <w:szCs w:val="18"/>
              </w:rPr>
            </w:pP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tcPr>
          <w:p w14:paraId="582C6FD5" w14:textId="6849C2FF" w:rsidR="007E6B2C" w:rsidRPr="00D93798" w:rsidRDefault="007E6B2C" w:rsidP="007E6B2C">
            <w:pPr>
              <w:jc w:val="center"/>
              <w:rPr>
                <w:rFonts w:ascii="Arial" w:hAnsi="Arial" w:cs="Arial"/>
                <w:sz w:val="18"/>
                <w:szCs w:val="18"/>
              </w:rPr>
            </w:pPr>
            <w:r w:rsidRPr="00D93798">
              <w:rPr>
                <w:rFonts w:ascii="Arial" w:hAnsi="Arial" w:cs="Arial"/>
                <w:sz w:val="18"/>
                <w:szCs w:val="18"/>
              </w:rPr>
              <w:t>Yes</w:t>
            </w:r>
          </w:p>
        </w:tc>
        <w:tc>
          <w:tcPr>
            <w:tcW w:w="3420" w:type="dxa"/>
            <w:tcBorders>
              <w:top w:val="single" w:sz="6" w:space="0" w:color="auto"/>
              <w:left w:val="single" w:sz="6" w:space="0" w:color="auto"/>
              <w:bottom w:val="single" w:sz="6" w:space="0" w:color="auto"/>
              <w:right w:val="single" w:sz="4" w:space="0" w:color="auto"/>
            </w:tcBorders>
          </w:tcPr>
          <w:p w14:paraId="3BCB197E" w14:textId="20B40752" w:rsidR="007E6B2C" w:rsidRPr="00D93798" w:rsidRDefault="007E6B2C" w:rsidP="007E6B2C">
            <w:pPr>
              <w:rPr>
                <w:rFonts w:ascii="Arial" w:hAnsi="Arial" w:cs="Arial"/>
                <w:bCs/>
                <w:sz w:val="18"/>
                <w:szCs w:val="18"/>
              </w:rPr>
            </w:pPr>
            <w:r w:rsidRPr="00D93798">
              <w:rPr>
                <w:rFonts w:ascii="Arial" w:hAnsi="Arial" w:cs="Arial"/>
                <w:bCs/>
                <w:sz w:val="18"/>
                <w:szCs w:val="18"/>
              </w:rPr>
              <w:t xml:space="preserve">The sum of all </w:t>
            </w:r>
            <w:r>
              <w:rPr>
                <w:rFonts w:ascii="Arial" w:hAnsi="Arial" w:cs="Arial"/>
                <w:bCs/>
                <w:sz w:val="18"/>
                <w:szCs w:val="18"/>
              </w:rPr>
              <w:t>Non-</w:t>
            </w:r>
            <w:r w:rsidRPr="00D93798">
              <w:rPr>
                <w:rFonts w:ascii="Arial" w:hAnsi="Arial" w:cs="Arial"/>
                <w:bCs/>
                <w:sz w:val="18"/>
                <w:szCs w:val="18"/>
              </w:rPr>
              <w:t>Claims Related Payments</w:t>
            </w:r>
            <w:r>
              <w:rPr>
                <w:rFonts w:ascii="Arial" w:hAnsi="Arial" w:cs="Arial"/>
                <w:bCs/>
                <w:sz w:val="18"/>
                <w:szCs w:val="18"/>
              </w:rPr>
              <w:t xml:space="preserve"> for every </w:t>
            </w:r>
            <w:r w:rsidR="0059179E">
              <w:rPr>
                <w:rFonts w:ascii="Arial" w:hAnsi="Arial" w:cs="Arial"/>
                <w:bCs/>
                <w:sz w:val="18"/>
                <w:szCs w:val="18"/>
              </w:rPr>
              <w:t>Provider Group/Local Practice Group</w:t>
            </w:r>
            <w:r>
              <w:rPr>
                <w:rFonts w:ascii="Arial" w:hAnsi="Arial" w:cs="Arial"/>
                <w:bCs/>
                <w:sz w:val="18"/>
                <w:szCs w:val="18"/>
              </w:rPr>
              <w:t>/Insurance Category/Product Type/Service</w:t>
            </w:r>
            <w:r w:rsidRPr="00D93798">
              <w:rPr>
                <w:rFonts w:ascii="Arial" w:hAnsi="Arial" w:cs="Arial"/>
                <w:bCs/>
                <w:sz w:val="18"/>
                <w:szCs w:val="18"/>
              </w:rPr>
              <w:t xml:space="preserve"> combination.</w:t>
            </w:r>
          </w:p>
        </w:tc>
      </w:tr>
    </w:tbl>
    <w:p w14:paraId="49FE5291" w14:textId="77777777" w:rsidR="00257495" w:rsidRDefault="00257495" w:rsidP="00251E0E">
      <w:pPr>
        <w:pStyle w:val="Heading2"/>
        <w:rPr>
          <w:rFonts w:ascii="Garamond" w:hAnsi="Garamond"/>
          <w:sz w:val="24"/>
          <w:szCs w:val="24"/>
        </w:rPr>
      </w:pPr>
    </w:p>
    <w:p w14:paraId="3CB2517A" w14:textId="77777777" w:rsidR="005C78DA" w:rsidRDefault="005C78DA" w:rsidP="005C78DA"/>
    <w:p w14:paraId="1FEC9621" w14:textId="77777777" w:rsidR="005C78DA" w:rsidRDefault="005C78DA" w:rsidP="005C78DA"/>
    <w:p w14:paraId="6530994C" w14:textId="77777777" w:rsidR="00B0111B" w:rsidRDefault="00B0111B">
      <w:pPr>
        <w:rPr>
          <w:rFonts w:ascii="Garamond" w:hAnsi="Garamond" w:cstheme="minorHAnsi"/>
          <w:b/>
          <w:bCs/>
          <w:kern w:val="32"/>
          <w:sz w:val="22"/>
          <w:szCs w:val="22"/>
        </w:rPr>
      </w:pPr>
      <w:r>
        <w:rPr>
          <w:rFonts w:ascii="Garamond" w:hAnsi="Garamond" w:cstheme="minorHAnsi"/>
          <w:sz w:val="22"/>
          <w:szCs w:val="22"/>
        </w:rPr>
        <w:br w:type="page"/>
      </w:r>
    </w:p>
    <w:p w14:paraId="181CEB7D" w14:textId="1475DB85" w:rsidR="00257495" w:rsidRDefault="00257495" w:rsidP="005F7408">
      <w:pPr>
        <w:pStyle w:val="Heading1"/>
        <w:rPr>
          <w:rFonts w:ascii="Garamond" w:hAnsi="Garamond" w:cstheme="minorHAnsi"/>
          <w:sz w:val="22"/>
          <w:szCs w:val="22"/>
        </w:rPr>
      </w:pPr>
      <w:bookmarkStart w:id="10" w:name="_Toc112161034"/>
      <w:r w:rsidRPr="005F7408">
        <w:rPr>
          <w:rFonts w:ascii="Garamond" w:hAnsi="Garamond" w:cstheme="minorHAnsi"/>
          <w:sz w:val="22"/>
          <w:szCs w:val="22"/>
        </w:rPr>
        <w:lastRenderedPageBreak/>
        <w:t xml:space="preserve">Appendix </w:t>
      </w:r>
      <w:r w:rsidR="00B0111B">
        <w:rPr>
          <w:rFonts w:ascii="Garamond" w:hAnsi="Garamond" w:cstheme="minorHAnsi"/>
          <w:sz w:val="22"/>
          <w:szCs w:val="22"/>
        </w:rPr>
        <w:t>D</w:t>
      </w:r>
      <w:r w:rsidRPr="005F7408">
        <w:rPr>
          <w:rFonts w:ascii="Garamond" w:hAnsi="Garamond" w:cstheme="minorHAnsi"/>
          <w:sz w:val="22"/>
          <w:szCs w:val="22"/>
        </w:rPr>
        <w:t xml:space="preserve">: </w:t>
      </w:r>
      <w:r w:rsidR="007A765E">
        <w:rPr>
          <w:rFonts w:ascii="Garamond" w:hAnsi="Garamond" w:cstheme="minorHAnsi"/>
          <w:sz w:val="22"/>
          <w:szCs w:val="22"/>
        </w:rPr>
        <w:t>Reference Tables</w:t>
      </w:r>
      <w:bookmarkEnd w:id="10"/>
      <w:r w:rsidRPr="005F7408">
        <w:rPr>
          <w:rFonts w:ascii="Garamond" w:hAnsi="Garamond" w:cstheme="minorHAnsi"/>
          <w:sz w:val="22"/>
          <w:szCs w:val="22"/>
        </w:rPr>
        <w:t xml:space="preserve"> </w:t>
      </w:r>
    </w:p>
    <w:p w14:paraId="2882E843" w14:textId="77777777" w:rsidR="007A765E" w:rsidRPr="007A765E" w:rsidRDefault="007A765E" w:rsidP="007A765E"/>
    <w:p w14:paraId="4115219D"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A</w:t>
      </w:r>
      <w:r w:rsidRPr="007A765E">
        <w:rPr>
          <w:rFonts w:ascii="Garamond" w:hAnsi="Garamond" w:cstheme="minorHAnsi"/>
          <w:b/>
          <w:i/>
          <w:sz w:val="22"/>
          <w:szCs w:val="22"/>
        </w:rPr>
        <w:t>: Insurance Category</w:t>
      </w:r>
    </w:p>
    <w:p w14:paraId="62B7649E"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9874"/>
      </w:tblGrid>
      <w:tr w:rsidR="00251E0E" w:rsidRPr="00A55866" w14:paraId="0D8D433A" w14:textId="77777777" w:rsidTr="00D24DC2">
        <w:tc>
          <w:tcPr>
            <w:tcW w:w="2268" w:type="dxa"/>
            <w:shd w:val="solid" w:color="C0C0C0" w:fill="C0C0C0"/>
          </w:tcPr>
          <w:p w14:paraId="309BE069"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9874" w:type="dxa"/>
            <w:shd w:val="solid" w:color="C0C0C0" w:fill="C0C0C0"/>
          </w:tcPr>
          <w:p w14:paraId="66FCDBE8"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6ACC105" w14:textId="77777777" w:rsidTr="00D24DC2">
        <w:tc>
          <w:tcPr>
            <w:tcW w:w="2268" w:type="dxa"/>
            <w:shd w:val="clear" w:color="auto" w:fill="auto"/>
          </w:tcPr>
          <w:p w14:paraId="7F58C9C7"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9874" w:type="dxa"/>
            <w:shd w:val="clear" w:color="auto" w:fill="auto"/>
            <w:vAlign w:val="bottom"/>
          </w:tcPr>
          <w:p w14:paraId="0C41E2F6" w14:textId="77777777" w:rsidR="00251E0E" w:rsidRPr="005C78DA" w:rsidRDefault="00251E0E" w:rsidP="00A55F01">
            <w:pPr>
              <w:rPr>
                <w:rFonts w:ascii="Garamond" w:hAnsi="Garamond" w:cstheme="minorHAnsi"/>
                <w:sz w:val="22"/>
                <w:szCs w:val="22"/>
              </w:rPr>
            </w:pPr>
            <w:r w:rsidRPr="005C78DA">
              <w:rPr>
                <w:rFonts w:ascii="Garamond" w:hAnsi="Garamond" w:cstheme="minorHAnsi"/>
                <w:sz w:val="22"/>
                <w:szCs w:val="22"/>
              </w:rPr>
              <w:t>Medicare</w:t>
            </w:r>
            <w:r w:rsidR="00F46EEE" w:rsidRPr="005C78DA">
              <w:rPr>
                <w:rFonts w:ascii="Garamond" w:hAnsi="Garamond" w:cstheme="minorHAnsi"/>
                <w:sz w:val="22"/>
                <w:szCs w:val="22"/>
              </w:rPr>
              <w:t xml:space="preserve"> Advantage</w:t>
            </w:r>
          </w:p>
        </w:tc>
      </w:tr>
      <w:tr w:rsidR="00251E0E" w:rsidRPr="00A55866" w14:paraId="2D4A0DD7" w14:textId="77777777" w:rsidTr="00D24DC2">
        <w:tc>
          <w:tcPr>
            <w:tcW w:w="2268" w:type="dxa"/>
            <w:shd w:val="clear" w:color="auto" w:fill="auto"/>
          </w:tcPr>
          <w:p w14:paraId="3C75CBD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9874" w:type="dxa"/>
            <w:shd w:val="clear" w:color="auto" w:fill="auto"/>
            <w:vAlign w:val="bottom"/>
          </w:tcPr>
          <w:p w14:paraId="0E1A981B" w14:textId="710C682D" w:rsidR="00251E0E" w:rsidRPr="005C78DA" w:rsidRDefault="008A02AC" w:rsidP="00251E0E">
            <w:pPr>
              <w:rPr>
                <w:rFonts w:ascii="Garamond" w:hAnsi="Garamond" w:cstheme="minorHAnsi"/>
                <w:sz w:val="22"/>
                <w:szCs w:val="22"/>
              </w:rPr>
            </w:pPr>
            <w:r w:rsidRPr="00D24DC2">
              <w:rPr>
                <w:rFonts w:ascii="Garamond" w:hAnsi="Garamond" w:cstheme="minorHAnsi"/>
                <w:sz w:val="22"/>
                <w:szCs w:val="22"/>
              </w:rPr>
              <w:t>Medicaid Managed Care Organization (MCO)/Accountable Care Organization (ACO-A)</w:t>
            </w:r>
          </w:p>
        </w:tc>
      </w:tr>
      <w:tr w:rsidR="00251E0E" w:rsidRPr="00A55866" w14:paraId="0D4A6CDF" w14:textId="77777777" w:rsidTr="00D24DC2">
        <w:tc>
          <w:tcPr>
            <w:tcW w:w="2268" w:type="dxa"/>
            <w:shd w:val="clear" w:color="auto" w:fill="auto"/>
          </w:tcPr>
          <w:p w14:paraId="0CF2CA5E" w14:textId="3589A7E3" w:rsidR="00251E0E" w:rsidRPr="005C78DA" w:rsidRDefault="00264917" w:rsidP="00251E0E">
            <w:pPr>
              <w:rPr>
                <w:rFonts w:ascii="Garamond" w:hAnsi="Garamond" w:cstheme="minorHAnsi"/>
                <w:sz w:val="22"/>
                <w:szCs w:val="22"/>
              </w:rPr>
            </w:pPr>
            <w:r>
              <w:rPr>
                <w:rFonts w:ascii="Garamond" w:hAnsi="Garamond" w:cstheme="minorHAnsi"/>
                <w:sz w:val="22"/>
                <w:szCs w:val="22"/>
              </w:rPr>
              <w:t>3</w:t>
            </w:r>
          </w:p>
        </w:tc>
        <w:tc>
          <w:tcPr>
            <w:tcW w:w="9874" w:type="dxa"/>
            <w:shd w:val="clear" w:color="auto" w:fill="auto"/>
            <w:vAlign w:val="bottom"/>
          </w:tcPr>
          <w:p w14:paraId="594A2A6D"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Commercial (self and fully insured)</w:t>
            </w:r>
          </w:p>
        </w:tc>
      </w:tr>
      <w:tr w:rsidR="001651CB" w:rsidRPr="00A55866" w14:paraId="3761D66B" w14:textId="77777777" w:rsidTr="00D24DC2">
        <w:tc>
          <w:tcPr>
            <w:tcW w:w="2268" w:type="dxa"/>
            <w:shd w:val="clear" w:color="auto" w:fill="auto"/>
          </w:tcPr>
          <w:p w14:paraId="7B3F4F3F" w14:textId="7CFA73CC" w:rsidR="001651CB" w:rsidRPr="005C78DA" w:rsidRDefault="00264917" w:rsidP="00251E0E">
            <w:pPr>
              <w:rPr>
                <w:rFonts w:ascii="Garamond" w:hAnsi="Garamond" w:cstheme="minorHAnsi"/>
                <w:sz w:val="22"/>
                <w:szCs w:val="22"/>
              </w:rPr>
            </w:pPr>
            <w:r>
              <w:rPr>
                <w:rFonts w:ascii="Garamond" w:hAnsi="Garamond" w:cstheme="minorHAnsi"/>
                <w:sz w:val="22"/>
                <w:szCs w:val="22"/>
              </w:rPr>
              <w:t>4</w:t>
            </w:r>
          </w:p>
        </w:tc>
        <w:tc>
          <w:tcPr>
            <w:tcW w:w="9874" w:type="dxa"/>
            <w:shd w:val="clear" w:color="auto" w:fill="auto"/>
            <w:vAlign w:val="bottom"/>
          </w:tcPr>
          <w:p w14:paraId="46D0127B" w14:textId="1954EFC1" w:rsidR="001651CB" w:rsidRPr="005C78DA" w:rsidRDefault="00404E90" w:rsidP="00251E0E">
            <w:pPr>
              <w:rPr>
                <w:rFonts w:ascii="Garamond" w:hAnsi="Garamond" w:cstheme="minorHAnsi"/>
                <w:sz w:val="22"/>
                <w:szCs w:val="22"/>
              </w:rPr>
            </w:pPr>
            <w:r>
              <w:rPr>
                <w:rFonts w:ascii="Garamond" w:hAnsi="Garamond" w:cstheme="minorHAnsi"/>
                <w:sz w:val="22"/>
                <w:szCs w:val="22"/>
              </w:rPr>
              <w:t>SCO</w:t>
            </w:r>
          </w:p>
        </w:tc>
      </w:tr>
      <w:tr w:rsidR="001651CB" w:rsidRPr="00A55866" w14:paraId="4F8152C3" w14:textId="77777777" w:rsidTr="00D24DC2">
        <w:tc>
          <w:tcPr>
            <w:tcW w:w="2268" w:type="dxa"/>
            <w:shd w:val="clear" w:color="auto" w:fill="auto"/>
          </w:tcPr>
          <w:p w14:paraId="3F6BA9A0" w14:textId="2F394C20" w:rsidR="001651CB" w:rsidRPr="005C78DA" w:rsidRDefault="00264917" w:rsidP="00251E0E">
            <w:pPr>
              <w:rPr>
                <w:rFonts w:ascii="Garamond" w:hAnsi="Garamond" w:cstheme="minorHAnsi"/>
                <w:sz w:val="22"/>
                <w:szCs w:val="22"/>
              </w:rPr>
            </w:pPr>
            <w:r>
              <w:rPr>
                <w:rFonts w:ascii="Garamond" w:hAnsi="Garamond" w:cstheme="minorHAnsi"/>
                <w:sz w:val="22"/>
                <w:szCs w:val="22"/>
              </w:rPr>
              <w:t>5</w:t>
            </w:r>
          </w:p>
        </w:tc>
        <w:tc>
          <w:tcPr>
            <w:tcW w:w="9874" w:type="dxa"/>
            <w:shd w:val="clear" w:color="auto" w:fill="auto"/>
            <w:vAlign w:val="bottom"/>
          </w:tcPr>
          <w:p w14:paraId="20574867" w14:textId="620B56BA" w:rsidR="001651CB" w:rsidRPr="005C78DA" w:rsidRDefault="00404E90" w:rsidP="007A210D">
            <w:pPr>
              <w:rPr>
                <w:rFonts w:ascii="Garamond" w:hAnsi="Garamond" w:cstheme="minorHAnsi"/>
                <w:sz w:val="22"/>
                <w:szCs w:val="22"/>
              </w:rPr>
            </w:pPr>
            <w:r>
              <w:rPr>
                <w:rFonts w:ascii="Garamond" w:hAnsi="Garamond" w:cstheme="minorHAnsi"/>
                <w:sz w:val="22"/>
                <w:szCs w:val="22"/>
              </w:rPr>
              <w:t>OneCare</w:t>
            </w:r>
          </w:p>
        </w:tc>
      </w:tr>
      <w:tr w:rsidR="001651CB" w:rsidRPr="00A55866" w14:paraId="37427F5D" w14:textId="77777777" w:rsidTr="00D24DC2">
        <w:tc>
          <w:tcPr>
            <w:tcW w:w="2268" w:type="dxa"/>
            <w:shd w:val="clear" w:color="auto" w:fill="auto"/>
          </w:tcPr>
          <w:p w14:paraId="2F50D749" w14:textId="442A3A92" w:rsidR="001651CB" w:rsidRPr="005C78DA" w:rsidRDefault="00264917" w:rsidP="00251E0E">
            <w:pPr>
              <w:rPr>
                <w:rFonts w:ascii="Garamond" w:hAnsi="Garamond" w:cstheme="minorHAnsi"/>
                <w:sz w:val="22"/>
                <w:szCs w:val="22"/>
              </w:rPr>
            </w:pPr>
            <w:r>
              <w:rPr>
                <w:rFonts w:ascii="Garamond" w:hAnsi="Garamond" w:cstheme="minorHAnsi"/>
                <w:sz w:val="22"/>
                <w:szCs w:val="22"/>
              </w:rPr>
              <w:t>6</w:t>
            </w:r>
          </w:p>
        </w:tc>
        <w:tc>
          <w:tcPr>
            <w:tcW w:w="9874" w:type="dxa"/>
            <w:shd w:val="clear" w:color="auto" w:fill="auto"/>
            <w:vAlign w:val="bottom"/>
          </w:tcPr>
          <w:p w14:paraId="4B5FDA32" w14:textId="77777777" w:rsidR="001651CB" w:rsidRPr="005C78DA" w:rsidRDefault="001651CB" w:rsidP="00251E0E">
            <w:pPr>
              <w:rPr>
                <w:rFonts w:ascii="Garamond" w:hAnsi="Garamond" w:cstheme="minorHAnsi"/>
                <w:sz w:val="22"/>
                <w:szCs w:val="22"/>
              </w:rPr>
            </w:pPr>
            <w:r w:rsidRPr="005C78DA">
              <w:rPr>
                <w:rFonts w:ascii="Garamond" w:hAnsi="Garamond" w:cstheme="minorHAnsi"/>
                <w:sz w:val="22"/>
                <w:szCs w:val="22"/>
              </w:rPr>
              <w:t>Other</w:t>
            </w:r>
          </w:p>
        </w:tc>
      </w:tr>
    </w:tbl>
    <w:p w14:paraId="0D1CEC67" w14:textId="77777777" w:rsidR="00CA10AF" w:rsidRPr="005C78DA" w:rsidRDefault="00CA10AF" w:rsidP="00CA10AF">
      <w:pPr>
        <w:rPr>
          <w:rFonts w:ascii="Garamond" w:hAnsi="Garamond" w:cstheme="minorHAnsi"/>
          <w:sz w:val="22"/>
          <w:szCs w:val="22"/>
        </w:rPr>
      </w:pPr>
      <w:bookmarkStart w:id="11" w:name="_Toc285535904"/>
    </w:p>
    <w:p w14:paraId="29A5E830"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B</w:t>
      </w:r>
      <w:r w:rsidRPr="007A765E">
        <w:rPr>
          <w:rFonts w:ascii="Garamond" w:hAnsi="Garamond" w:cstheme="minorHAnsi"/>
          <w:b/>
          <w:i/>
          <w:sz w:val="22"/>
          <w:szCs w:val="22"/>
        </w:rPr>
        <w:t>: Product Type</w:t>
      </w:r>
      <w:bookmarkEnd w:id="11"/>
    </w:p>
    <w:p w14:paraId="5CC938D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3420"/>
      </w:tblGrid>
      <w:tr w:rsidR="00251E0E" w:rsidRPr="00A55866" w14:paraId="5A75BC69" w14:textId="77777777" w:rsidTr="00D93798">
        <w:tc>
          <w:tcPr>
            <w:tcW w:w="2268" w:type="dxa"/>
            <w:shd w:val="solid" w:color="C0C0C0" w:fill="FFFFFF"/>
          </w:tcPr>
          <w:p w14:paraId="2E95EA1E"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3420" w:type="dxa"/>
            <w:shd w:val="solid" w:color="C0C0C0" w:fill="FFFFFF"/>
          </w:tcPr>
          <w:p w14:paraId="48435737"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6F6BE3BA" w14:textId="77777777" w:rsidTr="00D93798">
        <w:tc>
          <w:tcPr>
            <w:tcW w:w="2268" w:type="dxa"/>
            <w:shd w:val="clear" w:color="auto" w:fill="auto"/>
          </w:tcPr>
          <w:p w14:paraId="71C9E36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3420" w:type="dxa"/>
            <w:shd w:val="clear" w:color="auto" w:fill="auto"/>
            <w:vAlign w:val="bottom"/>
          </w:tcPr>
          <w:p w14:paraId="6925EFC2" w14:textId="2315CFCD" w:rsidR="00251E0E" w:rsidRPr="005C78DA" w:rsidRDefault="00251E0E" w:rsidP="00636E38">
            <w:pPr>
              <w:rPr>
                <w:rFonts w:ascii="Garamond" w:hAnsi="Garamond" w:cstheme="minorHAnsi"/>
                <w:sz w:val="22"/>
                <w:szCs w:val="22"/>
              </w:rPr>
            </w:pPr>
            <w:r w:rsidRPr="005C78DA">
              <w:rPr>
                <w:rFonts w:ascii="Garamond" w:hAnsi="Garamond" w:cstheme="minorHAnsi"/>
                <w:sz w:val="22"/>
                <w:szCs w:val="22"/>
              </w:rPr>
              <w:t>HMO</w:t>
            </w:r>
            <w:r w:rsidR="004C39D9">
              <w:rPr>
                <w:rFonts w:ascii="Garamond" w:hAnsi="Garamond" w:cstheme="minorHAnsi"/>
                <w:sz w:val="22"/>
                <w:szCs w:val="22"/>
              </w:rPr>
              <w:t xml:space="preserve"> and POS</w:t>
            </w:r>
          </w:p>
        </w:tc>
      </w:tr>
      <w:tr w:rsidR="004C39D9" w:rsidRPr="00A55866" w14:paraId="6F6282B9" w14:textId="77777777" w:rsidTr="00D93798">
        <w:tc>
          <w:tcPr>
            <w:tcW w:w="2268" w:type="dxa"/>
            <w:shd w:val="clear" w:color="auto" w:fill="auto"/>
          </w:tcPr>
          <w:p w14:paraId="190C593F" w14:textId="77777777"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2</w:t>
            </w:r>
          </w:p>
        </w:tc>
        <w:tc>
          <w:tcPr>
            <w:tcW w:w="3420" w:type="dxa"/>
            <w:shd w:val="clear" w:color="auto" w:fill="auto"/>
            <w:vAlign w:val="bottom"/>
          </w:tcPr>
          <w:p w14:paraId="09C89756" w14:textId="07CDA846" w:rsidR="004C39D9" w:rsidRPr="005C78DA" w:rsidRDefault="004C39D9" w:rsidP="004C39D9">
            <w:pPr>
              <w:rPr>
                <w:rFonts w:ascii="Garamond" w:hAnsi="Garamond" w:cstheme="minorHAnsi"/>
                <w:sz w:val="22"/>
                <w:szCs w:val="22"/>
              </w:rPr>
            </w:pPr>
            <w:r>
              <w:rPr>
                <w:rFonts w:ascii="Garamond" w:hAnsi="Garamond" w:cstheme="minorHAnsi"/>
                <w:sz w:val="22"/>
                <w:szCs w:val="22"/>
              </w:rPr>
              <w:t>PPO</w:t>
            </w:r>
          </w:p>
        </w:tc>
      </w:tr>
      <w:tr w:rsidR="004C39D9" w:rsidRPr="00A55866" w14:paraId="33473218" w14:textId="77777777" w:rsidTr="00D93798">
        <w:tc>
          <w:tcPr>
            <w:tcW w:w="2268" w:type="dxa"/>
            <w:shd w:val="clear" w:color="auto" w:fill="auto"/>
          </w:tcPr>
          <w:p w14:paraId="313DF429" w14:textId="77777777"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3</w:t>
            </w:r>
          </w:p>
        </w:tc>
        <w:tc>
          <w:tcPr>
            <w:tcW w:w="3420" w:type="dxa"/>
            <w:shd w:val="clear" w:color="auto" w:fill="auto"/>
            <w:vAlign w:val="bottom"/>
          </w:tcPr>
          <w:p w14:paraId="30CC9399" w14:textId="77BD3BE6" w:rsidR="004C39D9" w:rsidRPr="005C78DA" w:rsidRDefault="004C39D9" w:rsidP="004C39D9">
            <w:pPr>
              <w:rPr>
                <w:rFonts w:ascii="Garamond" w:hAnsi="Garamond" w:cstheme="minorHAnsi"/>
                <w:sz w:val="22"/>
                <w:szCs w:val="22"/>
              </w:rPr>
            </w:pPr>
            <w:r>
              <w:rPr>
                <w:rFonts w:ascii="Garamond" w:hAnsi="Garamond" w:cstheme="minorHAnsi"/>
                <w:sz w:val="22"/>
                <w:szCs w:val="22"/>
              </w:rPr>
              <w:t>Indemnity</w:t>
            </w:r>
          </w:p>
        </w:tc>
      </w:tr>
      <w:tr w:rsidR="004C39D9" w:rsidRPr="00A55866" w14:paraId="311C1072" w14:textId="77777777" w:rsidTr="00D93798">
        <w:tc>
          <w:tcPr>
            <w:tcW w:w="2268" w:type="dxa"/>
            <w:shd w:val="clear" w:color="auto" w:fill="auto"/>
          </w:tcPr>
          <w:p w14:paraId="164FD0A6" w14:textId="1CAFA794" w:rsidR="004C39D9" w:rsidRPr="005C78DA" w:rsidRDefault="004C39D9" w:rsidP="004C39D9">
            <w:pPr>
              <w:rPr>
                <w:rFonts w:ascii="Garamond" w:hAnsi="Garamond" w:cstheme="minorHAnsi"/>
                <w:sz w:val="22"/>
                <w:szCs w:val="22"/>
              </w:rPr>
            </w:pPr>
            <w:r>
              <w:rPr>
                <w:rFonts w:ascii="Garamond" w:hAnsi="Garamond" w:cstheme="minorHAnsi"/>
                <w:sz w:val="22"/>
                <w:szCs w:val="22"/>
              </w:rPr>
              <w:t>4</w:t>
            </w:r>
          </w:p>
        </w:tc>
        <w:tc>
          <w:tcPr>
            <w:tcW w:w="3420" w:type="dxa"/>
            <w:shd w:val="clear" w:color="auto" w:fill="auto"/>
            <w:vAlign w:val="bottom"/>
          </w:tcPr>
          <w:p w14:paraId="0F04401B" w14:textId="4B7B5634" w:rsidR="004C39D9" w:rsidRPr="005C78DA" w:rsidRDefault="004C39D9" w:rsidP="004C39D9">
            <w:pPr>
              <w:rPr>
                <w:rFonts w:ascii="Garamond" w:hAnsi="Garamond" w:cstheme="minorHAnsi"/>
                <w:sz w:val="22"/>
                <w:szCs w:val="22"/>
              </w:rPr>
            </w:pPr>
            <w:r w:rsidRPr="005C78DA">
              <w:rPr>
                <w:rFonts w:ascii="Garamond" w:hAnsi="Garamond" w:cstheme="minorHAnsi"/>
                <w:sz w:val="22"/>
                <w:szCs w:val="22"/>
              </w:rPr>
              <w:t>Other</w:t>
            </w:r>
          </w:p>
        </w:tc>
      </w:tr>
    </w:tbl>
    <w:p w14:paraId="0967E1F5" w14:textId="77777777" w:rsidR="00CA10AF" w:rsidRPr="005C78DA" w:rsidRDefault="00CA10AF" w:rsidP="00251E0E">
      <w:pPr>
        <w:pStyle w:val="Heading2"/>
        <w:rPr>
          <w:rFonts w:ascii="Garamond" w:hAnsi="Garamond" w:cstheme="minorHAnsi"/>
          <w:sz w:val="22"/>
          <w:szCs w:val="22"/>
        </w:rPr>
      </w:pPr>
      <w:bookmarkStart w:id="12" w:name="_Toc285808156"/>
    </w:p>
    <w:p w14:paraId="71541B0A"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C</w:t>
      </w:r>
      <w:r w:rsidRPr="007A765E">
        <w:rPr>
          <w:rFonts w:ascii="Garamond" w:hAnsi="Garamond" w:cstheme="minorHAnsi"/>
          <w:b/>
          <w:i/>
          <w:sz w:val="22"/>
          <w:szCs w:val="22"/>
        </w:rPr>
        <w:t>: Hospital Type</w:t>
      </w:r>
      <w:bookmarkEnd w:id="12"/>
    </w:p>
    <w:p w14:paraId="429E40D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7290"/>
      </w:tblGrid>
      <w:tr w:rsidR="00251E0E" w:rsidRPr="00A55866" w14:paraId="6A7F5FDC" w14:textId="77777777" w:rsidTr="00D93798">
        <w:tc>
          <w:tcPr>
            <w:tcW w:w="2268" w:type="dxa"/>
            <w:shd w:val="solid" w:color="C0C0C0" w:fill="FFFFFF"/>
          </w:tcPr>
          <w:p w14:paraId="4C29B199"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7290" w:type="dxa"/>
            <w:shd w:val="solid" w:color="C0C0C0" w:fill="FFFFFF"/>
          </w:tcPr>
          <w:p w14:paraId="768F1757"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0A2A827" w14:textId="77777777" w:rsidTr="00D93798">
        <w:tc>
          <w:tcPr>
            <w:tcW w:w="2268" w:type="dxa"/>
            <w:shd w:val="clear" w:color="auto" w:fill="auto"/>
          </w:tcPr>
          <w:p w14:paraId="338D737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7290" w:type="dxa"/>
            <w:shd w:val="clear" w:color="auto" w:fill="auto"/>
            <w:vAlign w:val="center"/>
          </w:tcPr>
          <w:p w14:paraId="5494197D"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Acute Hospital</w:t>
            </w:r>
          </w:p>
        </w:tc>
      </w:tr>
      <w:tr w:rsidR="00251E0E" w:rsidRPr="00A55866" w14:paraId="74C3C92B" w14:textId="77777777" w:rsidTr="00D93798">
        <w:tc>
          <w:tcPr>
            <w:tcW w:w="2268" w:type="dxa"/>
            <w:shd w:val="clear" w:color="auto" w:fill="auto"/>
          </w:tcPr>
          <w:p w14:paraId="0B19AE8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7290" w:type="dxa"/>
            <w:shd w:val="clear" w:color="auto" w:fill="auto"/>
            <w:vAlign w:val="center"/>
          </w:tcPr>
          <w:p w14:paraId="7349E42F" w14:textId="188C1EF1"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 xml:space="preserve">Psychiatric or Substance </w:t>
            </w:r>
            <w:r w:rsidR="002621B3">
              <w:rPr>
                <w:rFonts w:ascii="Garamond" w:hAnsi="Garamond" w:cstheme="minorHAnsi"/>
                <w:spacing w:val="-3"/>
                <w:sz w:val="22"/>
                <w:szCs w:val="22"/>
              </w:rPr>
              <w:t>Use Disorder</w:t>
            </w:r>
            <w:r w:rsidR="002621B3" w:rsidRPr="005C78DA">
              <w:rPr>
                <w:rFonts w:ascii="Garamond" w:hAnsi="Garamond" w:cstheme="minorHAnsi"/>
                <w:spacing w:val="-3"/>
                <w:sz w:val="22"/>
                <w:szCs w:val="22"/>
              </w:rPr>
              <w:t xml:space="preserve"> </w:t>
            </w:r>
            <w:r w:rsidRPr="005C78DA">
              <w:rPr>
                <w:rFonts w:ascii="Garamond" w:hAnsi="Garamond" w:cstheme="minorHAnsi"/>
                <w:spacing w:val="-3"/>
                <w:sz w:val="22"/>
                <w:szCs w:val="22"/>
              </w:rPr>
              <w:t xml:space="preserve">Hospital or Acute Hospital Behavioral Health </w:t>
            </w:r>
            <w:r w:rsidR="00D76FFC">
              <w:rPr>
                <w:rFonts w:ascii="Garamond" w:hAnsi="Garamond" w:cstheme="minorHAnsi"/>
                <w:spacing w:val="-3"/>
                <w:sz w:val="22"/>
                <w:szCs w:val="22"/>
              </w:rPr>
              <w:t xml:space="preserve">Unit </w:t>
            </w:r>
            <w:r w:rsidRPr="005C78DA">
              <w:rPr>
                <w:rFonts w:ascii="Garamond" w:hAnsi="Garamond" w:cstheme="minorHAnsi"/>
                <w:spacing w:val="-3"/>
                <w:sz w:val="22"/>
                <w:szCs w:val="22"/>
              </w:rPr>
              <w:t>only</w:t>
            </w:r>
          </w:p>
        </w:tc>
      </w:tr>
      <w:tr w:rsidR="00251E0E" w:rsidRPr="00A55866" w14:paraId="3307840B" w14:textId="77777777" w:rsidTr="00D93798">
        <w:tc>
          <w:tcPr>
            <w:tcW w:w="2268" w:type="dxa"/>
            <w:shd w:val="clear" w:color="auto" w:fill="auto"/>
          </w:tcPr>
          <w:p w14:paraId="16097E9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7290" w:type="dxa"/>
            <w:shd w:val="clear" w:color="auto" w:fill="auto"/>
            <w:vAlign w:val="center"/>
          </w:tcPr>
          <w:p w14:paraId="054B40F4"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Chronic Hospital</w:t>
            </w:r>
          </w:p>
        </w:tc>
      </w:tr>
      <w:tr w:rsidR="00251E0E" w:rsidRPr="00A55866" w14:paraId="7DF7EFFB" w14:textId="77777777" w:rsidTr="00D93798">
        <w:tc>
          <w:tcPr>
            <w:tcW w:w="2268" w:type="dxa"/>
            <w:shd w:val="clear" w:color="auto" w:fill="auto"/>
          </w:tcPr>
          <w:p w14:paraId="426164B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4</w:t>
            </w:r>
          </w:p>
        </w:tc>
        <w:tc>
          <w:tcPr>
            <w:tcW w:w="7290" w:type="dxa"/>
            <w:shd w:val="clear" w:color="auto" w:fill="auto"/>
            <w:vAlign w:val="center"/>
          </w:tcPr>
          <w:p w14:paraId="2D61048A"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Rehabilitation Hospital</w:t>
            </w:r>
          </w:p>
        </w:tc>
      </w:tr>
    </w:tbl>
    <w:p w14:paraId="507DE05D" w14:textId="77777777" w:rsidR="00AA6C5E" w:rsidRPr="00AA7237" w:rsidRDefault="00AA6C5E" w:rsidP="00AA7237">
      <w:bookmarkStart w:id="13" w:name="_Toc285808157"/>
    </w:p>
    <w:p w14:paraId="42550A06" w14:textId="144458F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D</w:t>
      </w:r>
      <w:r w:rsidRPr="007A765E">
        <w:rPr>
          <w:rFonts w:ascii="Garamond" w:hAnsi="Garamond" w:cstheme="minorHAnsi"/>
          <w:b/>
          <w:i/>
          <w:sz w:val="22"/>
          <w:szCs w:val="22"/>
        </w:rPr>
        <w:t>: Base Rate and Service Multiplier Indicator</w:t>
      </w:r>
      <w:bookmarkEnd w:id="13"/>
    </w:p>
    <w:p w14:paraId="536E4EC3"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68"/>
        <w:gridCol w:w="8974"/>
      </w:tblGrid>
      <w:tr w:rsidR="00251E0E" w:rsidRPr="00A55866" w14:paraId="6A6B8996" w14:textId="77777777" w:rsidTr="00161691">
        <w:tc>
          <w:tcPr>
            <w:tcW w:w="2268" w:type="dxa"/>
            <w:shd w:val="solid" w:color="C0C0C0" w:fill="FFFFFF"/>
          </w:tcPr>
          <w:p w14:paraId="49D06CBA"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ID</w:t>
            </w:r>
          </w:p>
        </w:tc>
        <w:tc>
          <w:tcPr>
            <w:tcW w:w="8974" w:type="dxa"/>
            <w:shd w:val="solid" w:color="C0C0C0" w:fill="FFFFFF"/>
          </w:tcPr>
          <w:p w14:paraId="5BE7E5E6"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5A02C309" w14:textId="77777777" w:rsidTr="00161691">
        <w:tc>
          <w:tcPr>
            <w:tcW w:w="2268" w:type="dxa"/>
            <w:shd w:val="clear" w:color="auto" w:fill="auto"/>
          </w:tcPr>
          <w:p w14:paraId="3A8A21F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lastRenderedPageBreak/>
              <w:t>1</w:t>
            </w:r>
          </w:p>
        </w:tc>
        <w:tc>
          <w:tcPr>
            <w:tcW w:w="8974" w:type="dxa"/>
            <w:shd w:val="clear" w:color="auto" w:fill="auto"/>
            <w:vAlign w:val="center"/>
          </w:tcPr>
          <w:p w14:paraId="604534AD"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 xml:space="preserve">Negotiated base rate </w:t>
            </w:r>
            <w:r w:rsidR="00CA10AF" w:rsidRPr="005C78DA">
              <w:rPr>
                <w:rFonts w:ascii="Garamond" w:hAnsi="Garamond" w:cstheme="minorHAnsi"/>
                <w:spacing w:val="-3"/>
                <w:sz w:val="22"/>
                <w:szCs w:val="22"/>
              </w:rPr>
              <w:t xml:space="preserve">or multiplier </w:t>
            </w:r>
            <w:r w:rsidRPr="005C78DA">
              <w:rPr>
                <w:rFonts w:ascii="Garamond" w:hAnsi="Garamond" w:cstheme="minorHAnsi"/>
                <w:spacing w:val="-3"/>
                <w:sz w:val="22"/>
                <w:szCs w:val="22"/>
              </w:rPr>
              <w:t>(not calculated)</w:t>
            </w:r>
          </w:p>
        </w:tc>
      </w:tr>
      <w:tr w:rsidR="00251E0E" w:rsidRPr="00A55866" w14:paraId="4C85E2F0" w14:textId="77777777" w:rsidTr="00161691">
        <w:tc>
          <w:tcPr>
            <w:tcW w:w="2268" w:type="dxa"/>
            <w:shd w:val="clear" w:color="auto" w:fill="auto"/>
          </w:tcPr>
          <w:p w14:paraId="37012994"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8974" w:type="dxa"/>
            <w:shd w:val="clear" w:color="auto" w:fill="auto"/>
            <w:vAlign w:val="center"/>
          </w:tcPr>
          <w:p w14:paraId="42A4EF87"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Calculated payment-derived base rate</w:t>
            </w:r>
            <w:r w:rsidR="00CA10AF" w:rsidRPr="005C78DA">
              <w:rPr>
                <w:rFonts w:ascii="Garamond" w:hAnsi="Garamond" w:cstheme="minorHAnsi"/>
                <w:spacing w:val="-3"/>
                <w:sz w:val="22"/>
                <w:szCs w:val="22"/>
              </w:rPr>
              <w:t xml:space="preserve"> or multiplier </w:t>
            </w:r>
          </w:p>
        </w:tc>
      </w:tr>
      <w:tr w:rsidR="00251E0E" w:rsidRPr="00A55866" w14:paraId="4F8CA5A2" w14:textId="77777777" w:rsidTr="00161691">
        <w:tc>
          <w:tcPr>
            <w:tcW w:w="2268" w:type="dxa"/>
            <w:shd w:val="clear" w:color="auto" w:fill="auto"/>
          </w:tcPr>
          <w:p w14:paraId="475FE34F"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8974" w:type="dxa"/>
            <w:shd w:val="clear" w:color="auto" w:fill="auto"/>
            <w:vAlign w:val="center"/>
          </w:tcPr>
          <w:p w14:paraId="44A02A89" w14:textId="77777777" w:rsidR="00251E0E" w:rsidRPr="005C78DA" w:rsidRDefault="00251E0E" w:rsidP="00251E0E">
            <w:pPr>
              <w:rPr>
                <w:rFonts w:ascii="Garamond" w:hAnsi="Garamond" w:cstheme="minorHAnsi"/>
                <w:spacing w:val="-3"/>
                <w:sz w:val="22"/>
                <w:szCs w:val="22"/>
              </w:rPr>
            </w:pPr>
            <w:r w:rsidRPr="005C78DA">
              <w:rPr>
                <w:rFonts w:ascii="Garamond" w:hAnsi="Garamond" w:cstheme="minorHAnsi"/>
                <w:spacing w:val="-3"/>
                <w:sz w:val="22"/>
                <w:szCs w:val="22"/>
              </w:rPr>
              <w:t>St</w:t>
            </w:r>
            <w:r w:rsidR="00CA10AF" w:rsidRPr="005C78DA">
              <w:rPr>
                <w:rFonts w:ascii="Garamond" w:hAnsi="Garamond" w:cstheme="minorHAnsi"/>
                <w:spacing w:val="-3"/>
                <w:sz w:val="22"/>
                <w:szCs w:val="22"/>
              </w:rPr>
              <w:t xml:space="preserve">andard per unit rate (use for </w:t>
            </w:r>
            <w:r w:rsidRPr="005C78DA">
              <w:rPr>
                <w:rFonts w:ascii="Garamond" w:hAnsi="Garamond" w:cstheme="minorHAnsi"/>
                <w:spacing w:val="-3"/>
                <w:sz w:val="22"/>
                <w:szCs w:val="22"/>
              </w:rPr>
              <w:t>hospital</w:t>
            </w:r>
            <w:r w:rsidR="0065766A" w:rsidRPr="005C78DA">
              <w:rPr>
                <w:rFonts w:ascii="Garamond" w:hAnsi="Garamond" w:cstheme="minorHAnsi"/>
                <w:spacing w:val="-3"/>
                <w:sz w:val="22"/>
                <w:szCs w:val="22"/>
              </w:rPr>
              <w:t xml:space="preserve"> inpatient</w:t>
            </w:r>
            <w:r w:rsidR="00CA10AF" w:rsidRPr="005C78DA">
              <w:rPr>
                <w:rFonts w:ascii="Garamond" w:hAnsi="Garamond" w:cstheme="minorHAnsi"/>
                <w:spacing w:val="-3"/>
                <w:sz w:val="22"/>
                <w:szCs w:val="22"/>
              </w:rPr>
              <w:t xml:space="preserve"> only – non-acute hospitals or acute hospitals with waiver</w:t>
            </w:r>
            <w:r w:rsidRPr="005C78DA">
              <w:rPr>
                <w:rFonts w:ascii="Garamond" w:hAnsi="Garamond" w:cstheme="minorHAnsi"/>
                <w:spacing w:val="-3"/>
                <w:sz w:val="22"/>
                <w:szCs w:val="22"/>
              </w:rPr>
              <w:t>)</w:t>
            </w:r>
          </w:p>
        </w:tc>
      </w:tr>
    </w:tbl>
    <w:p w14:paraId="5EDC5968" w14:textId="77777777" w:rsidR="00AE1831" w:rsidRDefault="00AE1831" w:rsidP="00251E0E">
      <w:pPr>
        <w:rPr>
          <w:rFonts w:ascii="Garamond" w:hAnsi="Garamond" w:cstheme="minorHAnsi"/>
          <w:b/>
          <w:i/>
          <w:sz w:val="22"/>
          <w:szCs w:val="22"/>
        </w:rPr>
      </w:pPr>
    </w:p>
    <w:p w14:paraId="465EC31F" w14:textId="77777777" w:rsidR="00251E0E" w:rsidRPr="005C78DA" w:rsidRDefault="00251E0E" w:rsidP="00251E0E">
      <w:pPr>
        <w:rPr>
          <w:rFonts w:ascii="Garamond" w:hAnsi="Garamond" w:cstheme="minorHAnsi"/>
          <w:b/>
          <w:i/>
          <w:sz w:val="22"/>
          <w:szCs w:val="22"/>
        </w:rPr>
      </w:pPr>
      <w:r w:rsidRPr="005C78DA">
        <w:rPr>
          <w:rFonts w:ascii="Garamond" w:hAnsi="Garamond" w:cstheme="minorHAnsi"/>
          <w:b/>
          <w:i/>
          <w:sz w:val="22"/>
          <w:szCs w:val="22"/>
        </w:rPr>
        <w:t xml:space="preserve">Table </w:t>
      </w:r>
      <w:r w:rsidR="00FC72BE" w:rsidRPr="005C78DA">
        <w:rPr>
          <w:rFonts w:ascii="Garamond" w:hAnsi="Garamond" w:cstheme="minorHAnsi"/>
          <w:b/>
          <w:i/>
          <w:sz w:val="22"/>
          <w:szCs w:val="22"/>
        </w:rPr>
        <w:t>E</w:t>
      </w:r>
      <w:r w:rsidRPr="005C78DA">
        <w:rPr>
          <w:rFonts w:ascii="Garamond" w:hAnsi="Garamond" w:cstheme="minorHAnsi"/>
          <w:b/>
          <w:i/>
          <w:sz w:val="22"/>
          <w:szCs w:val="22"/>
        </w:rPr>
        <w:t>: Organization Type</w:t>
      </w:r>
    </w:p>
    <w:p w14:paraId="3C705C05" w14:textId="77777777" w:rsidR="00251E0E" w:rsidRPr="005C78DA" w:rsidRDefault="00251E0E" w:rsidP="00251E0E">
      <w:pPr>
        <w:rPr>
          <w:rFonts w:ascii="Garamond" w:hAnsi="Garamond"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8"/>
        <w:gridCol w:w="3214"/>
      </w:tblGrid>
      <w:tr w:rsidR="00251E0E" w:rsidRPr="00A55866" w14:paraId="7B9DFA20" w14:textId="77777777" w:rsidTr="00161691">
        <w:tc>
          <w:tcPr>
            <w:tcW w:w="2268" w:type="dxa"/>
            <w:shd w:val="clear" w:color="auto" w:fill="B3B3B3"/>
          </w:tcPr>
          <w:p w14:paraId="3D870AE7" w14:textId="77777777" w:rsidR="00251E0E" w:rsidRPr="005C78DA" w:rsidRDefault="00251E0E" w:rsidP="00251E0E">
            <w:pPr>
              <w:rPr>
                <w:rFonts w:ascii="Garamond" w:hAnsi="Garamond" w:cstheme="minorHAnsi"/>
                <w:b/>
                <w:sz w:val="22"/>
                <w:szCs w:val="22"/>
              </w:rPr>
            </w:pPr>
            <w:r w:rsidRPr="005C78DA">
              <w:rPr>
                <w:rFonts w:ascii="Garamond" w:hAnsi="Garamond" w:cstheme="minorHAnsi"/>
                <w:b/>
                <w:sz w:val="22"/>
                <w:szCs w:val="22"/>
              </w:rPr>
              <w:t>ID</w:t>
            </w:r>
          </w:p>
        </w:tc>
        <w:tc>
          <w:tcPr>
            <w:tcW w:w="3214" w:type="dxa"/>
            <w:shd w:val="clear" w:color="auto" w:fill="B3B3B3"/>
          </w:tcPr>
          <w:p w14:paraId="00BA06A8" w14:textId="77777777" w:rsidR="00251E0E" w:rsidRPr="005C78DA" w:rsidRDefault="00251E0E" w:rsidP="00251E0E">
            <w:pPr>
              <w:rPr>
                <w:rFonts w:ascii="Garamond" w:hAnsi="Garamond" w:cstheme="minorHAnsi"/>
                <w:b/>
                <w:sz w:val="22"/>
                <w:szCs w:val="22"/>
              </w:rPr>
            </w:pPr>
            <w:r w:rsidRPr="005C78DA">
              <w:rPr>
                <w:rFonts w:ascii="Garamond" w:hAnsi="Garamond" w:cstheme="minorHAnsi"/>
                <w:b/>
                <w:sz w:val="22"/>
                <w:szCs w:val="22"/>
              </w:rPr>
              <w:t>Description</w:t>
            </w:r>
          </w:p>
        </w:tc>
      </w:tr>
      <w:tr w:rsidR="00251E0E" w:rsidRPr="00A55866" w14:paraId="49648925" w14:textId="77777777" w:rsidTr="00161691">
        <w:tc>
          <w:tcPr>
            <w:tcW w:w="2268" w:type="dxa"/>
          </w:tcPr>
          <w:p w14:paraId="7691861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1</w:t>
            </w:r>
          </w:p>
        </w:tc>
        <w:tc>
          <w:tcPr>
            <w:tcW w:w="3214" w:type="dxa"/>
          </w:tcPr>
          <w:p w14:paraId="47D17439"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Hospital</w:t>
            </w:r>
          </w:p>
        </w:tc>
      </w:tr>
      <w:tr w:rsidR="00251E0E" w:rsidRPr="00A55866" w14:paraId="0597C7F6" w14:textId="77777777" w:rsidTr="00161691">
        <w:tc>
          <w:tcPr>
            <w:tcW w:w="2268" w:type="dxa"/>
          </w:tcPr>
          <w:p w14:paraId="30EE337F"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2</w:t>
            </w:r>
          </w:p>
        </w:tc>
        <w:tc>
          <w:tcPr>
            <w:tcW w:w="3214" w:type="dxa"/>
          </w:tcPr>
          <w:p w14:paraId="3D3A6DE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Physician Group</w:t>
            </w:r>
          </w:p>
        </w:tc>
      </w:tr>
      <w:tr w:rsidR="00251E0E" w:rsidRPr="00A55866" w14:paraId="5EF81F27" w14:textId="77777777" w:rsidTr="00161691">
        <w:tc>
          <w:tcPr>
            <w:tcW w:w="2268" w:type="dxa"/>
          </w:tcPr>
          <w:p w14:paraId="2ADED7F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3</w:t>
            </w:r>
          </w:p>
        </w:tc>
        <w:tc>
          <w:tcPr>
            <w:tcW w:w="3214" w:type="dxa"/>
          </w:tcPr>
          <w:p w14:paraId="420F45D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Ambulatory Surgical Center</w:t>
            </w:r>
          </w:p>
        </w:tc>
      </w:tr>
      <w:tr w:rsidR="00251E0E" w:rsidRPr="00A55866" w14:paraId="472A84EA" w14:textId="77777777" w:rsidTr="00161691">
        <w:tc>
          <w:tcPr>
            <w:tcW w:w="2268" w:type="dxa"/>
          </w:tcPr>
          <w:p w14:paraId="6FCFFC46"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4</w:t>
            </w:r>
          </w:p>
        </w:tc>
        <w:tc>
          <w:tcPr>
            <w:tcW w:w="3214" w:type="dxa"/>
          </w:tcPr>
          <w:p w14:paraId="190DF2DB"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Community Health Center</w:t>
            </w:r>
          </w:p>
        </w:tc>
      </w:tr>
      <w:tr w:rsidR="00251E0E" w:rsidRPr="00A55866" w14:paraId="1436E9FD" w14:textId="77777777" w:rsidTr="00161691">
        <w:tc>
          <w:tcPr>
            <w:tcW w:w="2268" w:type="dxa"/>
          </w:tcPr>
          <w:p w14:paraId="4539D82E"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5</w:t>
            </w:r>
          </w:p>
        </w:tc>
        <w:tc>
          <w:tcPr>
            <w:tcW w:w="3214" w:type="dxa"/>
          </w:tcPr>
          <w:p w14:paraId="57272803"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Community Mental Health Center</w:t>
            </w:r>
          </w:p>
        </w:tc>
      </w:tr>
      <w:tr w:rsidR="00251E0E" w:rsidRPr="00A55866" w14:paraId="58875D3A" w14:textId="77777777" w:rsidTr="00161691">
        <w:tc>
          <w:tcPr>
            <w:tcW w:w="2268" w:type="dxa"/>
          </w:tcPr>
          <w:p w14:paraId="19BB3BCB"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6</w:t>
            </w:r>
          </w:p>
        </w:tc>
        <w:tc>
          <w:tcPr>
            <w:tcW w:w="3214" w:type="dxa"/>
          </w:tcPr>
          <w:p w14:paraId="3EF1AD05"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Freestanding Clinical Labs</w:t>
            </w:r>
          </w:p>
        </w:tc>
      </w:tr>
      <w:tr w:rsidR="00251E0E" w:rsidRPr="00A55866" w14:paraId="139C1EE5" w14:textId="77777777" w:rsidTr="00161691">
        <w:tc>
          <w:tcPr>
            <w:tcW w:w="2268" w:type="dxa"/>
          </w:tcPr>
          <w:p w14:paraId="5C104DB0"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7</w:t>
            </w:r>
          </w:p>
        </w:tc>
        <w:tc>
          <w:tcPr>
            <w:tcW w:w="3214" w:type="dxa"/>
          </w:tcPr>
          <w:p w14:paraId="78814E0C"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Freestanding Diagnostic Imaging</w:t>
            </w:r>
          </w:p>
        </w:tc>
      </w:tr>
      <w:tr w:rsidR="00251E0E" w:rsidRPr="00A55866" w14:paraId="2ADBE243" w14:textId="77777777" w:rsidTr="00161691">
        <w:tc>
          <w:tcPr>
            <w:tcW w:w="2268" w:type="dxa"/>
          </w:tcPr>
          <w:p w14:paraId="6759E67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8</w:t>
            </w:r>
          </w:p>
        </w:tc>
        <w:tc>
          <w:tcPr>
            <w:tcW w:w="3214" w:type="dxa"/>
          </w:tcPr>
          <w:p w14:paraId="7EEB7B08"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Home Health Agencies</w:t>
            </w:r>
          </w:p>
        </w:tc>
      </w:tr>
      <w:tr w:rsidR="00251E0E" w:rsidRPr="00A55866" w14:paraId="17119072" w14:textId="77777777" w:rsidTr="00161691">
        <w:tc>
          <w:tcPr>
            <w:tcW w:w="2268" w:type="dxa"/>
          </w:tcPr>
          <w:p w14:paraId="5083DDA9"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9</w:t>
            </w:r>
          </w:p>
        </w:tc>
        <w:tc>
          <w:tcPr>
            <w:tcW w:w="3214" w:type="dxa"/>
          </w:tcPr>
          <w:p w14:paraId="6DDB7482" w14:textId="77777777" w:rsidR="00251E0E" w:rsidRPr="005C78DA" w:rsidRDefault="00251E0E" w:rsidP="00251E0E">
            <w:pPr>
              <w:rPr>
                <w:rFonts w:ascii="Garamond" w:hAnsi="Garamond" w:cstheme="minorHAnsi"/>
                <w:sz w:val="22"/>
                <w:szCs w:val="22"/>
              </w:rPr>
            </w:pPr>
            <w:r w:rsidRPr="005C78DA">
              <w:rPr>
                <w:rFonts w:ascii="Garamond" w:hAnsi="Garamond" w:cstheme="minorHAnsi"/>
                <w:sz w:val="22"/>
                <w:szCs w:val="22"/>
              </w:rPr>
              <w:t>Skilled Nursing Facilities</w:t>
            </w:r>
          </w:p>
        </w:tc>
      </w:tr>
    </w:tbl>
    <w:p w14:paraId="17DF2A93" w14:textId="77777777" w:rsidR="00CA10AF" w:rsidRPr="005C78DA" w:rsidRDefault="00CA10AF" w:rsidP="00251E0E">
      <w:pPr>
        <w:pStyle w:val="Heading2"/>
        <w:rPr>
          <w:rFonts w:ascii="Garamond" w:hAnsi="Garamond" w:cstheme="minorHAnsi"/>
          <w:sz w:val="22"/>
          <w:szCs w:val="22"/>
        </w:rPr>
      </w:pPr>
      <w:bookmarkStart w:id="14" w:name="_Toc281990290"/>
      <w:bookmarkStart w:id="15" w:name="_Toc282598540"/>
      <w:bookmarkStart w:id="16" w:name="_Toc285535905"/>
    </w:p>
    <w:p w14:paraId="677115FA" w14:textId="77777777" w:rsidR="00251E0E" w:rsidRPr="007A765E" w:rsidRDefault="00251E0E" w:rsidP="007A765E">
      <w:pPr>
        <w:rPr>
          <w:rFonts w:ascii="Garamond" w:hAnsi="Garamond" w:cstheme="minorHAnsi"/>
          <w:b/>
          <w:i/>
          <w:sz w:val="22"/>
          <w:szCs w:val="22"/>
        </w:rPr>
      </w:pPr>
      <w:r w:rsidRPr="007A765E">
        <w:rPr>
          <w:rFonts w:ascii="Garamond" w:hAnsi="Garamond" w:cstheme="minorHAnsi"/>
          <w:b/>
          <w:i/>
          <w:sz w:val="22"/>
          <w:szCs w:val="22"/>
        </w:rPr>
        <w:t xml:space="preserve">Table </w:t>
      </w:r>
      <w:r w:rsidR="00FC72BE" w:rsidRPr="007A765E">
        <w:rPr>
          <w:rFonts w:ascii="Garamond" w:hAnsi="Garamond" w:cstheme="minorHAnsi"/>
          <w:b/>
          <w:i/>
          <w:sz w:val="22"/>
          <w:szCs w:val="22"/>
        </w:rPr>
        <w:t>F</w:t>
      </w:r>
      <w:r w:rsidRPr="007A765E">
        <w:rPr>
          <w:rFonts w:ascii="Garamond" w:hAnsi="Garamond" w:cstheme="minorHAnsi"/>
          <w:b/>
          <w:i/>
          <w:sz w:val="22"/>
          <w:szCs w:val="22"/>
        </w:rPr>
        <w:t>:</w:t>
      </w:r>
      <w:r w:rsidR="00AB7EBF" w:rsidRPr="007A765E">
        <w:rPr>
          <w:rFonts w:ascii="Garamond" w:hAnsi="Garamond" w:cstheme="minorHAnsi"/>
          <w:b/>
          <w:i/>
          <w:sz w:val="22"/>
          <w:szCs w:val="22"/>
        </w:rPr>
        <w:t xml:space="preserve"> </w:t>
      </w:r>
      <w:r w:rsidRPr="007A765E">
        <w:rPr>
          <w:rFonts w:ascii="Garamond" w:hAnsi="Garamond" w:cstheme="minorHAnsi"/>
          <w:b/>
          <w:i/>
          <w:sz w:val="22"/>
          <w:szCs w:val="22"/>
        </w:rPr>
        <w:t>File Record Legend</w:t>
      </w:r>
      <w:bookmarkEnd w:id="14"/>
      <w:bookmarkEnd w:id="15"/>
      <w:bookmarkEnd w:id="16"/>
    </w:p>
    <w:p w14:paraId="78650A15" w14:textId="77777777" w:rsidR="00251E0E" w:rsidRPr="005C78DA" w:rsidRDefault="00251E0E" w:rsidP="00251E0E">
      <w:pPr>
        <w:rPr>
          <w:rFonts w:ascii="Garamond" w:hAnsi="Garamond"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3754"/>
      </w:tblGrid>
      <w:tr w:rsidR="00251E0E" w:rsidRPr="00A55866" w14:paraId="5A6B1E00" w14:textId="77777777" w:rsidTr="00161691">
        <w:tc>
          <w:tcPr>
            <w:tcW w:w="1728" w:type="dxa"/>
            <w:shd w:val="solid" w:color="C0C0C0" w:fill="FFFFFF"/>
          </w:tcPr>
          <w:p w14:paraId="5740C7E8"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File Field</w:t>
            </w:r>
          </w:p>
        </w:tc>
        <w:tc>
          <w:tcPr>
            <w:tcW w:w="3754" w:type="dxa"/>
            <w:shd w:val="solid" w:color="C0C0C0" w:fill="FFFFFF"/>
          </w:tcPr>
          <w:p w14:paraId="6B41E7EB" w14:textId="77777777" w:rsidR="00251E0E" w:rsidRPr="005C78DA" w:rsidRDefault="00251E0E" w:rsidP="00251E0E">
            <w:pPr>
              <w:rPr>
                <w:rFonts w:ascii="Garamond" w:hAnsi="Garamond" w:cstheme="minorHAnsi"/>
                <w:b/>
                <w:bCs/>
                <w:sz w:val="22"/>
                <w:szCs w:val="22"/>
              </w:rPr>
            </w:pPr>
            <w:r w:rsidRPr="005C78DA">
              <w:rPr>
                <w:rFonts w:ascii="Garamond" w:hAnsi="Garamond" w:cstheme="minorHAnsi"/>
                <w:b/>
                <w:bCs/>
                <w:sz w:val="22"/>
                <w:szCs w:val="22"/>
              </w:rPr>
              <w:t>Description</w:t>
            </w:r>
          </w:p>
        </w:tc>
      </w:tr>
      <w:tr w:rsidR="00251E0E" w:rsidRPr="00A55866" w14:paraId="43CE77E2" w14:textId="77777777" w:rsidTr="00161691">
        <w:tc>
          <w:tcPr>
            <w:tcW w:w="1728" w:type="dxa"/>
            <w:shd w:val="clear" w:color="auto" w:fill="auto"/>
          </w:tcPr>
          <w:p w14:paraId="5A6ADB1D" w14:textId="2C40C06A" w:rsidR="00251E0E" w:rsidRPr="005C78DA" w:rsidRDefault="009C5221" w:rsidP="00251E0E">
            <w:pPr>
              <w:rPr>
                <w:rFonts w:ascii="Garamond" w:hAnsi="Garamond" w:cstheme="minorHAnsi"/>
                <w:sz w:val="22"/>
                <w:szCs w:val="22"/>
              </w:rPr>
            </w:pPr>
            <w:r>
              <w:rPr>
                <w:rFonts w:ascii="Garamond" w:hAnsi="Garamond" w:cstheme="minorHAnsi"/>
                <w:sz w:val="22"/>
                <w:szCs w:val="22"/>
              </w:rPr>
              <w:t>HOS</w:t>
            </w:r>
          </w:p>
        </w:tc>
        <w:tc>
          <w:tcPr>
            <w:tcW w:w="3754" w:type="dxa"/>
            <w:shd w:val="clear" w:color="auto" w:fill="auto"/>
          </w:tcPr>
          <w:p w14:paraId="5064BDB4" w14:textId="4B225DDA" w:rsidR="00251E0E" w:rsidRPr="005C78DA" w:rsidRDefault="009C5221" w:rsidP="00251E0E">
            <w:pPr>
              <w:rPr>
                <w:rFonts w:ascii="Garamond" w:hAnsi="Garamond" w:cstheme="minorHAnsi"/>
                <w:sz w:val="22"/>
                <w:szCs w:val="22"/>
              </w:rPr>
            </w:pPr>
            <w:r>
              <w:rPr>
                <w:rFonts w:ascii="Garamond" w:hAnsi="Garamond" w:cstheme="minorHAnsi"/>
                <w:sz w:val="22"/>
                <w:szCs w:val="22"/>
              </w:rPr>
              <w:t>Hospital RP Template</w:t>
            </w:r>
          </w:p>
        </w:tc>
      </w:tr>
      <w:tr w:rsidR="00251E0E" w:rsidRPr="00A55866" w14:paraId="639A94FD" w14:textId="77777777" w:rsidTr="00161691">
        <w:tc>
          <w:tcPr>
            <w:tcW w:w="1728" w:type="dxa"/>
            <w:shd w:val="clear" w:color="auto" w:fill="auto"/>
          </w:tcPr>
          <w:p w14:paraId="62D9FC9B" w14:textId="007748A5" w:rsidR="00251E0E" w:rsidRPr="005C78DA" w:rsidRDefault="009C5221" w:rsidP="00251E0E">
            <w:pPr>
              <w:rPr>
                <w:rFonts w:ascii="Garamond" w:hAnsi="Garamond" w:cstheme="minorHAnsi"/>
                <w:sz w:val="22"/>
                <w:szCs w:val="22"/>
              </w:rPr>
            </w:pPr>
            <w:r>
              <w:rPr>
                <w:rFonts w:ascii="Garamond" w:hAnsi="Garamond" w:cstheme="minorHAnsi"/>
                <w:sz w:val="22"/>
                <w:szCs w:val="22"/>
              </w:rPr>
              <w:t>PG</w:t>
            </w:r>
          </w:p>
        </w:tc>
        <w:tc>
          <w:tcPr>
            <w:tcW w:w="3754" w:type="dxa"/>
            <w:shd w:val="clear" w:color="auto" w:fill="auto"/>
          </w:tcPr>
          <w:p w14:paraId="5FBCA88A" w14:textId="7B2A8A40" w:rsidR="00251E0E" w:rsidRPr="005C78DA" w:rsidRDefault="009C5221" w:rsidP="00251E0E">
            <w:pPr>
              <w:rPr>
                <w:rFonts w:ascii="Garamond" w:hAnsi="Garamond" w:cstheme="minorHAnsi"/>
                <w:sz w:val="22"/>
                <w:szCs w:val="22"/>
              </w:rPr>
            </w:pPr>
            <w:r>
              <w:rPr>
                <w:rFonts w:ascii="Garamond" w:hAnsi="Garamond" w:cstheme="minorHAnsi"/>
                <w:sz w:val="22"/>
                <w:szCs w:val="22"/>
              </w:rPr>
              <w:t>Physician Group RP Template</w:t>
            </w:r>
            <w:r w:rsidR="00251E0E" w:rsidRPr="005C78DA">
              <w:rPr>
                <w:rFonts w:ascii="Garamond" w:hAnsi="Garamond" w:cstheme="minorHAnsi"/>
                <w:sz w:val="22"/>
                <w:szCs w:val="22"/>
              </w:rPr>
              <w:t xml:space="preserve"> </w:t>
            </w:r>
          </w:p>
        </w:tc>
      </w:tr>
      <w:tr w:rsidR="00251E0E" w:rsidRPr="00A55866" w14:paraId="3BE0910D" w14:textId="77777777" w:rsidTr="00161691">
        <w:tc>
          <w:tcPr>
            <w:tcW w:w="1728" w:type="dxa"/>
            <w:shd w:val="clear" w:color="auto" w:fill="auto"/>
          </w:tcPr>
          <w:p w14:paraId="3C52AC77" w14:textId="2A06AED1" w:rsidR="00251E0E" w:rsidRPr="005C78DA" w:rsidRDefault="009C5221" w:rsidP="00251E0E">
            <w:pPr>
              <w:rPr>
                <w:rFonts w:ascii="Garamond" w:hAnsi="Garamond" w:cstheme="minorHAnsi"/>
                <w:sz w:val="22"/>
                <w:szCs w:val="22"/>
              </w:rPr>
            </w:pPr>
            <w:r>
              <w:rPr>
                <w:rFonts w:ascii="Garamond" w:hAnsi="Garamond" w:cstheme="minorHAnsi"/>
                <w:sz w:val="22"/>
                <w:szCs w:val="22"/>
              </w:rPr>
              <w:t>OP</w:t>
            </w:r>
          </w:p>
        </w:tc>
        <w:tc>
          <w:tcPr>
            <w:tcW w:w="3754" w:type="dxa"/>
            <w:shd w:val="clear" w:color="auto" w:fill="auto"/>
          </w:tcPr>
          <w:p w14:paraId="4AAF230D" w14:textId="44419C6F" w:rsidR="00251E0E" w:rsidRPr="005C78DA" w:rsidRDefault="009C5221" w:rsidP="00251E0E">
            <w:pPr>
              <w:rPr>
                <w:rFonts w:ascii="Garamond" w:hAnsi="Garamond" w:cstheme="minorHAnsi"/>
                <w:sz w:val="22"/>
                <w:szCs w:val="22"/>
              </w:rPr>
            </w:pPr>
            <w:r>
              <w:rPr>
                <w:rFonts w:ascii="Garamond" w:hAnsi="Garamond" w:cstheme="minorHAnsi"/>
                <w:sz w:val="22"/>
                <w:szCs w:val="22"/>
              </w:rPr>
              <w:t>Other Provider RP Template</w:t>
            </w:r>
          </w:p>
        </w:tc>
      </w:tr>
    </w:tbl>
    <w:p w14:paraId="79E7640A" w14:textId="77777777" w:rsidR="00251E0E" w:rsidRPr="005C78DA" w:rsidRDefault="00251E0E" w:rsidP="00251E0E">
      <w:pPr>
        <w:rPr>
          <w:rFonts w:ascii="Garamond" w:hAnsi="Garamond" w:cstheme="minorHAnsi"/>
          <w:sz w:val="22"/>
          <w:szCs w:val="22"/>
        </w:rPr>
      </w:pPr>
    </w:p>
    <w:p w14:paraId="3CF5BB1C" w14:textId="6348C40F" w:rsidR="00251E0E" w:rsidRDefault="00251E0E" w:rsidP="00817E16">
      <w:pPr>
        <w:rPr>
          <w:rFonts w:ascii="Garamond" w:hAnsi="Garamond" w:cstheme="minorHAnsi"/>
          <w:b/>
          <w:sz w:val="22"/>
          <w:szCs w:val="22"/>
        </w:rPr>
      </w:pPr>
    </w:p>
    <w:p w14:paraId="79965707" w14:textId="7B3D4867" w:rsidR="00966B8F" w:rsidRDefault="00966B8F" w:rsidP="00817E16">
      <w:pPr>
        <w:rPr>
          <w:rFonts w:ascii="Garamond" w:hAnsi="Garamond" w:cstheme="minorHAnsi"/>
          <w:b/>
          <w:sz w:val="22"/>
          <w:szCs w:val="22"/>
        </w:rPr>
      </w:pPr>
    </w:p>
    <w:p w14:paraId="790F8C14" w14:textId="647DD46C" w:rsidR="00966B8F" w:rsidRDefault="00966B8F" w:rsidP="00817E16">
      <w:pPr>
        <w:rPr>
          <w:rFonts w:ascii="Garamond" w:hAnsi="Garamond" w:cstheme="minorHAnsi"/>
          <w:b/>
          <w:sz w:val="22"/>
          <w:szCs w:val="22"/>
        </w:rPr>
      </w:pPr>
    </w:p>
    <w:p w14:paraId="4A4B287F" w14:textId="405D743E" w:rsidR="00966B8F" w:rsidRDefault="00966B8F" w:rsidP="00817E16">
      <w:pPr>
        <w:rPr>
          <w:rFonts w:ascii="Garamond" w:hAnsi="Garamond" w:cstheme="minorHAnsi"/>
          <w:b/>
          <w:sz w:val="22"/>
          <w:szCs w:val="22"/>
        </w:rPr>
      </w:pPr>
    </w:p>
    <w:p w14:paraId="5C413BC6" w14:textId="4D9EFF2F" w:rsidR="00966B8F" w:rsidRDefault="00966B8F" w:rsidP="00817E16">
      <w:pPr>
        <w:rPr>
          <w:rFonts w:ascii="Garamond" w:hAnsi="Garamond" w:cstheme="minorHAnsi"/>
          <w:b/>
          <w:sz w:val="22"/>
          <w:szCs w:val="22"/>
        </w:rPr>
      </w:pPr>
    </w:p>
    <w:p w14:paraId="67B08943" w14:textId="77777777" w:rsidR="00966B8F" w:rsidRDefault="00966B8F" w:rsidP="00817E16">
      <w:pPr>
        <w:rPr>
          <w:rFonts w:ascii="Garamond" w:hAnsi="Garamond" w:cstheme="minorHAnsi"/>
          <w:b/>
          <w:sz w:val="22"/>
          <w:szCs w:val="22"/>
        </w:rPr>
      </w:pPr>
    </w:p>
    <w:p w14:paraId="189CC8D1" w14:textId="06369619" w:rsidR="00F33D39" w:rsidRPr="008E3B3D" w:rsidRDefault="00F33D39" w:rsidP="00817E16">
      <w:pPr>
        <w:rPr>
          <w:rFonts w:ascii="Garamond" w:hAnsi="Garamond" w:cstheme="minorHAnsi"/>
          <w:b/>
          <w:i/>
          <w:iCs/>
          <w:sz w:val="22"/>
          <w:szCs w:val="22"/>
          <w:u w:val="single"/>
        </w:rPr>
      </w:pPr>
    </w:p>
    <w:p w14:paraId="3C2922F2" w14:textId="77777777" w:rsidR="008E3B3D" w:rsidRDefault="008E3B3D" w:rsidP="00817E16">
      <w:pPr>
        <w:rPr>
          <w:rFonts w:ascii="Garamond" w:hAnsi="Garamond" w:cstheme="minorHAnsi"/>
          <w:b/>
          <w:i/>
          <w:iCs/>
          <w:sz w:val="22"/>
          <w:szCs w:val="22"/>
        </w:rPr>
      </w:pPr>
    </w:p>
    <w:p w14:paraId="3BDF41AE" w14:textId="740F18A2" w:rsidR="00A32B66" w:rsidRPr="00B0111B" w:rsidRDefault="00C661A9" w:rsidP="00B0111B">
      <w:pPr>
        <w:pStyle w:val="Heading1"/>
        <w:rPr>
          <w:rFonts w:ascii="Garamond" w:hAnsi="Garamond" w:cstheme="minorHAnsi"/>
          <w:sz w:val="22"/>
          <w:szCs w:val="22"/>
        </w:rPr>
      </w:pPr>
      <w:bookmarkStart w:id="17" w:name="_Toc285535906"/>
      <w:bookmarkStart w:id="18" w:name="_Toc112161035"/>
      <w:r w:rsidRPr="00B0111B">
        <w:rPr>
          <w:rFonts w:ascii="Garamond" w:hAnsi="Garamond" w:cstheme="minorHAnsi"/>
          <w:sz w:val="22"/>
          <w:szCs w:val="22"/>
        </w:rPr>
        <w:lastRenderedPageBreak/>
        <w:t xml:space="preserve">Appendix </w:t>
      </w:r>
      <w:r w:rsidR="00B0111B" w:rsidRPr="00B0111B">
        <w:rPr>
          <w:rFonts w:ascii="Garamond" w:hAnsi="Garamond" w:cstheme="minorHAnsi"/>
          <w:sz w:val="22"/>
          <w:szCs w:val="22"/>
        </w:rPr>
        <w:t>E</w:t>
      </w:r>
      <w:r w:rsidRPr="00B0111B">
        <w:rPr>
          <w:rFonts w:ascii="Garamond" w:hAnsi="Garamond" w:cstheme="minorHAnsi"/>
          <w:sz w:val="22"/>
          <w:szCs w:val="22"/>
        </w:rPr>
        <w:t xml:space="preserve">: </w:t>
      </w:r>
      <w:r w:rsidR="000E0D74" w:rsidRPr="00B0111B">
        <w:rPr>
          <w:rFonts w:ascii="Garamond" w:hAnsi="Garamond" w:cstheme="minorHAnsi"/>
          <w:sz w:val="22"/>
          <w:szCs w:val="22"/>
        </w:rPr>
        <w:t>Submission Naming Conventions</w:t>
      </w:r>
      <w:bookmarkStart w:id="19" w:name="_Toc37854132"/>
      <w:bookmarkEnd w:id="17"/>
      <w:bookmarkEnd w:id="18"/>
    </w:p>
    <w:p w14:paraId="43EA01CE" w14:textId="7EE78E2B" w:rsidR="000E0D74" w:rsidRPr="00B0111B" w:rsidRDefault="00D44CA4" w:rsidP="00B0111B">
      <w:pPr>
        <w:rPr>
          <w:rFonts w:ascii="Garamond" w:hAnsi="Garamond"/>
          <w:sz w:val="22"/>
          <w:szCs w:val="22"/>
        </w:rPr>
      </w:pPr>
      <w:bookmarkStart w:id="20" w:name="_Toc112160168"/>
      <w:r w:rsidRPr="00B0111B">
        <w:rPr>
          <w:rFonts w:ascii="Garamond" w:hAnsi="Garamond"/>
          <w:sz w:val="22"/>
          <w:szCs w:val="22"/>
        </w:rPr>
        <w:t>The file naming convention will be automatically generated by clicking the “Save and Name Submission” button on the Front Page tab of the submission template. The file name will be similar to the file name shown below. The file can then be uploaded to the CHIA Submissions portal. Files that do not adhere to the automatically generated file name conventions will not be accepted for submission.</w:t>
      </w:r>
      <w:bookmarkEnd w:id="19"/>
      <w:bookmarkEnd w:id="20"/>
    </w:p>
    <w:p w14:paraId="20A72821" w14:textId="77777777" w:rsidR="00D44CA4" w:rsidRDefault="00D44CA4" w:rsidP="00AA7237">
      <w:pPr>
        <w:rPr>
          <w:rFonts w:ascii="Garamond" w:hAnsi="Garamond" w:cstheme="minorHAnsi"/>
          <w:sz w:val="22"/>
          <w:szCs w:val="22"/>
        </w:rPr>
      </w:pPr>
    </w:p>
    <w:p w14:paraId="47BB2DEA" w14:textId="72DD3F20" w:rsidR="00D44CA4" w:rsidRPr="00D44CA4" w:rsidRDefault="00D44CA4" w:rsidP="00AA7237">
      <w:pPr>
        <w:rPr>
          <w:rFonts w:ascii="Garamond" w:hAnsi="Garamond" w:cstheme="minorHAnsi"/>
          <w:i/>
          <w:sz w:val="22"/>
          <w:szCs w:val="22"/>
        </w:rPr>
      </w:pPr>
      <w:r w:rsidRPr="00D44CA4">
        <w:rPr>
          <w:rFonts w:ascii="Garamond" w:hAnsi="Garamond" w:cstheme="minorHAnsi"/>
          <w:i/>
          <w:sz w:val="22"/>
          <w:szCs w:val="22"/>
        </w:rPr>
        <w:t>Save and Name Submission button:</w:t>
      </w:r>
    </w:p>
    <w:p w14:paraId="0FDC1813" w14:textId="0C6AA2C2" w:rsidR="00D44CA4" w:rsidRDefault="00D44CA4" w:rsidP="00AA7237">
      <w:pPr>
        <w:rPr>
          <w:rFonts w:ascii="Garamond" w:hAnsi="Garamond" w:cstheme="minorHAnsi"/>
          <w:sz w:val="22"/>
          <w:szCs w:val="22"/>
        </w:rPr>
      </w:pPr>
    </w:p>
    <w:p w14:paraId="179A3437" w14:textId="71F29682" w:rsidR="00D44CA4" w:rsidRPr="00D44CA4" w:rsidRDefault="00D41F0F" w:rsidP="00AA7237">
      <w:pPr>
        <w:rPr>
          <w:rFonts w:ascii="Garamond" w:hAnsi="Garamond" w:cstheme="minorHAnsi"/>
          <w:sz w:val="22"/>
          <w:szCs w:val="22"/>
        </w:rPr>
      </w:pPr>
      <w:r>
        <w:rPr>
          <w:rFonts w:ascii="Garamond" w:hAnsi="Garamond" w:cstheme="minorHAnsi"/>
          <w:noProof/>
          <w:sz w:val="22"/>
          <w:szCs w:val="22"/>
        </w:rPr>
        <mc:AlternateContent>
          <mc:Choice Requires="wps">
            <w:drawing>
              <wp:anchor distT="0" distB="0" distL="114300" distR="114300" simplePos="0" relativeHeight="251658240" behindDoc="0" locked="0" layoutInCell="1" allowOverlap="1" wp14:anchorId="0D41CABC" wp14:editId="6F3194BC">
                <wp:simplePos x="0" y="0"/>
                <wp:positionH relativeFrom="column">
                  <wp:posOffset>5568950</wp:posOffset>
                </wp:positionH>
                <wp:positionV relativeFrom="paragraph">
                  <wp:posOffset>4445</wp:posOffset>
                </wp:positionV>
                <wp:extent cx="1822450" cy="7175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822450" cy="717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asvg="http://schemas.microsoft.com/office/drawing/2016/SVG/main" xmlns:pic="http://schemas.openxmlformats.org/drawingml/2006/picture" xmlns:a="http://schemas.openxmlformats.org/drawingml/2006/main">
            <w:pict>
              <v:rect id="Rectangle 5" style="position:absolute;margin-left:438.5pt;margin-top:.35pt;width:143.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42FF6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"/>
            </w:pict>
          </mc:Fallback>
        </mc:AlternateContent>
      </w:r>
      <w:r w:rsidR="00D44CA4">
        <w:rPr>
          <w:noProof/>
        </w:rPr>
        <w:drawing>
          <wp:inline distT="0" distB="0" distL="0" distR="0" wp14:anchorId="70AB925C" wp14:editId="31489F3B">
            <wp:extent cx="7669119" cy="3016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9904" r="56250" b="8916"/>
                    <a:stretch/>
                  </pic:blipFill>
                  <pic:spPr bwMode="auto">
                    <a:xfrm>
                      <a:off x="0" y="0"/>
                      <a:ext cx="7669119" cy="3016250"/>
                    </a:xfrm>
                    <a:prstGeom prst="rect">
                      <a:avLst/>
                    </a:prstGeom>
                    <a:ln>
                      <a:noFill/>
                    </a:ln>
                    <a:extLst>
                      <a:ext uri="{53640926-AAD7-44D8-BBD7-CCE9431645EC}">
                        <a14:shadowObscured xmlns:a14="http://schemas.microsoft.com/office/drawing/2010/main"/>
                      </a:ext>
                    </a:extLst>
                  </pic:spPr>
                </pic:pic>
              </a:graphicData>
            </a:graphic>
          </wp:inline>
        </w:drawing>
      </w:r>
    </w:p>
    <w:p w14:paraId="530712D3" w14:textId="77777777" w:rsidR="00A26602" w:rsidRDefault="00A26602" w:rsidP="00AA7237">
      <w:pPr>
        <w:rPr>
          <w:rFonts w:ascii="Garamond" w:hAnsi="Garamond" w:cstheme="minorHAnsi"/>
          <w:i/>
          <w:sz w:val="22"/>
          <w:szCs w:val="22"/>
        </w:rPr>
      </w:pPr>
    </w:p>
    <w:p w14:paraId="2CCB95A7" w14:textId="28074E7E" w:rsidR="00D44CA4" w:rsidRPr="00D31EB4" w:rsidRDefault="00D44CA4" w:rsidP="00D31EB4">
      <w:pPr>
        <w:rPr>
          <w:rFonts w:ascii="Garamond" w:hAnsi="Garamond"/>
          <w:b/>
          <w:sz w:val="22"/>
          <w:szCs w:val="22"/>
        </w:rPr>
      </w:pPr>
      <w:bookmarkStart w:id="21" w:name="_Toc37748920"/>
      <w:bookmarkStart w:id="22" w:name="_Toc37854133"/>
      <w:bookmarkStart w:id="23" w:name="_Toc112160169"/>
      <w:r w:rsidRPr="00D31EB4">
        <w:rPr>
          <w:rFonts w:ascii="Garamond" w:hAnsi="Garamond"/>
          <w:sz w:val="22"/>
          <w:szCs w:val="22"/>
        </w:rPr>
        <w:t xml:space="preserve">The automatically generated file name will be similar to </w:t>
      </w:r>
      <w:r w:rsidRPr="00D31EB4">
        <w:rPr>
          <w:rFonts w:ascii="Garamond" w:hAnsi="Garamond"/>
          <w:i/>
          <w:sz w:val="22"/>
          <w:szCs w:val="22"/>
        </w:rPr>
        <w:t xml:space="preserve">“Payer_OrgID_147_2019_05042020123000_HOS_1234.xlsx” </w:t>
      </w:r>
      <w:r w:rsidRPr="00D31EB4">
        <w:rPr>
          <w:rFonts w:ascii="Garamond" w:hAnsi="Garamond"/>
          <w:sz w:val="22"/>
          <w:szCs w:val="22"/>
        </w:rPr>
        <w:t>–</w:t>
      </w:r>
      <w:r w:rsidR="00537824" w:rsidRPr="00D31EB4">
        <w:rPr>
          <w:rFonts w:ascii="Garamond" w:hAnsi="Garamond"/>
          <w:sz w:val="22"/>
          <w:szCs w:val="22"/>
        </w:rPr>
        <w:t xml:space="preserve"> p</w:t>
      </w:r>
      <w:r w:rsidRPr="00D31EB4">
        <w:rPr>
          <w:rFonts w:ascii="Garamond" w:hAnsi="Garamond"/>
          <w:sz w:val="22"/>
          <w:szCs w:val="22"/>
        </w:rPr>
        <w:t>lease do not change the</w:t>
      </w:r>
      <w:r w:rsidR="00537824" w:rsidRPr="00D31EB4">
        <w:rPr>
          <w:rFonts w:ascii="Garamond" w:hAnsi="Garamond"/>
          <w:sz w:val="22"/>
          <w:szCs w:val="22"/>
        </w:rPr>
        <w:t xml:space="preserve"> file name from what is automatically generated. Files that do not adhere to the naming convention will not be accepted.</w:t>
      </w:r>
      <w:bookmarkEnd w:id="21"/>
      <w:bookmarkEnd w:id="22"/>
      <w:bookmarkEnd w:id="23"/>
    </w:p>
    <w:p w14:paraId="7D15B02B" w14:textId="77777777" w:rsidR="00FC428E" w:rsidRDefault="00FC428E" w:rsidP="00A26602">
      <w:pPr>
        <w:pStyle w:val="Heading1"/>
        <w:rPr>
          <w:rFonts w:ascii="Garamond" w:hAnsi="Garamond" w:cstheme="minorHAnsi"/>
          <w:sz w:val="22"/>
          <w:szCs w:val="22"/>
        </w:rPr>
      </w:pPr>
    </w:p>
    <w:p w14:paraId="6F31077D" w14:textId="46F93E38" w:rsidR="00AB3EDB" w:rsidRPr="00AB3EDB" w:rsidRDefault="00D70D0D" w:rsidP="00AB3EDB">
      <w:r>
        <w:br w:type="page"/>
      </w:r>
    </w:p>
    <w:p w14:paraId="6C1F1FBC" w14:textId="2AA7856D" w:rsidR="00A26602" w:rsidRDefault="00A26602" w:rsidP="00A26602">
      <w:pPr>
        <w:pStyle w:val="Heading1"/>
        <w:rPr>
          <w:rFonts w:ascii="Garamond" w:hAnsi="Garamond" w:cstheme="minorHAnsi"/>
          <w:sz w:val="22"/>
          <w:szCs w:val="22"/>
        </w:rPr>
      </w:pPr>
      <w:bookmarkStart w:id="24" w:name="_Toc112161036"/>
      <w:r>
        <w:rPr>
          <w:rFonts w:ascii="Garamond" w:hAnsi="Garamond" w:cstheme="minorHAnsi"/>
          <w:sz w:val="22"/>
          <w:szCs w:val="22"/>
        </w:rPr>
        <w:lastRenderedPageBreak/>
        <w:t xml:space="preserve">Appendix </w:t>
      </w:r>
      <w:r w:rsidR="00B0111B">
        <w:rPr>
          <w:rFonts w:ascii="Garamond" w:hAnsi="Garamond" w:cstheme="minorHAnsi"/>
          <w:sz w:val="22"/>
          <w:szCs w:val="22"/>
        </w:rPr>
        <w:t>F</w:t>
      </w:r>
      <w:r>
        <w:rPr>
          <w:rFonts w:ascii="Garamond" w:hAnsi="Garamond" w:cstheme="minorHAnsi"/>
          <w:sz w:val="22"/>
          <w:szCs w:val="22"/>
        </w:rPr>
        <w:t>: Reporting Non-Claims Payments in Hospital Outpatient, Physician Group, and Other Provider files</w:t>
      </w:r>
      <w:bookmarkEnd w:id="24"/>
    </w:p>
    <w:p w14:paraId="662D68BE" w14:textId="77777777" w:rsidR="00D44CA4" w:rsidRDefault="00D44CA4" w:rsidP="00B46D58">
      <w:pPr>
        <w:rPr>
          <w:rFonts w:ascii="Garamond" w:hAnsi="Garamond"/>
          <w:sz w:val="22"/>
        </w:rPr>
      </w:pPr>
    </w:p>
    <w:p w14:paraId="25EA2BFC" w14:textId="40A9E865" w:rsidR="00B46D58" w:rsidRPr="00D44CA4" w:rsidRDefault="00B46D58" w:rsidP="00B46D58">
      <w:pPr>
        <w:rPr>
          <w:rFonts w:ascii="Garamond" w:hAnsi="Garamond"/>
          <w:sz w:val="22"/>
        </w:rPr>
      </w:pPr>
      <w:r w:rsidRPr="00D44CA4">
        <w:rPr>
          <w:rFonts w:ascii="Garamond" w:hAnsi="Garamond"/>
          <w:sz w:val="22"/>
        </w:rPr>
        <w:t xml:space="preserve">If payers do not allocate </w:t>
      </w:r>
      <w:r w:rsidR="003B2CFB" w:rsidRPr="00D44CA4">
        <w:rPr>
          <w:rFonts w:ascii="Garamond" w:hAnsi="Garamond"/>
          <w:sz w:val="22"/>
        </w:rPr>
        <w:t>Non-Claims payments to specific services via an internal methodology, then payers should report Non-Claims Payments as its own service named “NonClaims” in addition to the Claims Payments reported for individual service</w:t>
      </w:r>
      <w:r w:rsidR="000F2762">
        <w:rPr>
          <w:rFonts w:ascii="Garamond" w:hAnsi="Garamond"/>
          <w:sz w:val="22"/>
        </w:rPr>
        <w:t>s</w:t>
      </w:r>
      <w:r w:rsidR="003B2CFB" w:rsidRPr="00D44CA4">
        <w:rPr>
          <w:rFonts w:ascii="Garamond" w:hAnsi="Garamond"/>
          <w:sz w:val="22"/>
        </w:rPr>
        <w:t>. See the table below for an example:</w:t>
      </w:r>
    </w:p>
    <w:p w14:paraId="01116038" w14:textId="77777777" w:rsidR="00A26602" w:rsidRPr="005C78DA" w:rsidRDefault="00A26602" w:rsidP="00A26602">
      <w:pPr>
        <w:rPr>
          <w:rFonts w:ascii="Garamond" w:hAnsi="Garamond" w:cstheme="minorHAnsi"/>
          <w:sz w:val="22"/>
          <w:szCs w:val="22"/>
        </w:rPr>
      </w:pPr>
    </w:p>
    <w:p w14:paraId="4A5ED790" w14:textId="0DDAEBD3" w:rsidR="003A6FC6" w:rsidRDefault="003A6FC6" w:rsidP="00AA7237">
      <w:pPr>
        <w:rPr>
          <w:rFonts w:ascii="Garamond" w:hAnsi="Garamond" w:cstheme="minorHAnsi"/>
          <w:sz w:val="22"/>
          <w:szCs w:val="22"/>
        </w:rPr>
      </w:pPr>
    </w:p>
    <w:p w14:paraId="2295C6B6" w14:textId="5BCDBDEA" w:rsidR="001E0651" w:rsidRDefault="002F668F" w:rsidP="00AA7237">
      <w:pPr>
        <w:rPr>
          <w:rFonts w:ascii="Garamond" w:hAnsi="Garamond" w:cstheme="minorHAnsi"/>
          <w:sz w:val="22"/>
          <w:szCs w:val="22"/>
        </w:rPr>
      </w:pPr>
      <w:r>
        <w:rPr>
          <w:rFonts w:ascii="Garamond" w:hAnsi="Garamond" w:cstheme="minorHAnsi"/>
          <w:noProof/>
          <w:sz w:val="22"/>
          <w:szCs w:val="22"/>
        </w:rPr>
        <w:drawing>
          <wp:inline distT="0" distB="0" distL="0" distR="0" wp14:anchorId="418A82EB" wp14:editId="020E22E4">
            <wp:extent cx="8229600" cy="601345"/>
            <wp:effectExtent l="0" t="0" r="0" b="8255"/>
            <wp:docPr id="75274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601345"/>
                    </a:xfrm>
                    <a:prstGeom prst="rect">
                      <a:avLst/>
                    </a:prstGeom>
                    <a:noFill/>
                    <a:ln>
                      <a:noFill/>
                    </a:ln>
                  </pic:spPr>
                </pic:pic>
              </a:graphicData>
            </a:graphic>
          </wp:inline>
        </w:drawing>
      </w:r>
    </w:p>
    <w:p w14:paraId="5CF81D4B" w14:textId="3588B3A4" w:rsidR="001E0651" w:rsidRDefault="001E0651" w:rsidP="00AA7237">
      <w:pPr>
        <w:rPr>
          <w:rFonts w:ascii="Garamond" w:hAnsi="Garamond" w:cstheme="minorHAnsi"/>
          <w:sz w:val="22"/>
          <w:szCs w:val="22"/>
        </w:rPr>
      </w:pPr>
    </w:p>
    <w:p w14:paraId="58607BE9" w14:textId="087E719D" w:rsidR="001E0651" w:rsidRDefault="001E0651" w:rsidP="00AA7237">
      <w:pPr>
        <w:rPr>
          <w:rFonts w:ascii="Garamond" w:hAnsi="Garamond" w:cstheme="minorHAnsi"/>
          <w:sz w:val="22"/>
          <w:szCs w:val="22"/>
        </w:rPr>
      </w:pPr>
    </w:p>
    <w:p w14:paraId="75D950F3" w14:textId="2D036DF8" w:rsidR="001E0651" w:rsidRDefault="001E0651" w:rsidP="00AA7237">
      <w:pPr>
        <w:rPr>
          <w:rFonts w:ascii="Garamond" w:hAnsi="Garamond" w:cstheme="minorHAnsi"/>
          <w:sz w:val="22"/>
          <w:szCs w:val="22"/>
        </w:rPr>
      </w:pPr>
    </w:p>
    <w:p w14:paraId="779E87F3" w14:textId="17D272B6" w:rsidR="001E0651" w:rsidRDefault="001E0651" w:rsidP="00AA7237">
      <w:pPr>
        <w:rPr>
          <w:rFonts w:ascii="Garamond" w:hAnsi="Garamond" w:cstheme="minorHAnsi"/>
          <w:sz w:val="22"/>
          <w:szCs w:val="22"/>
        </w:rPr>
      </w:pPr>
    </w:p>
    <w:p w14:paraId="7F876649" w14:textId="086C0B3D" w:rsidR="001E0651" w:rsidRDefault="001E0651" w:rsidP="00AA7237">
      <w:pPr>
        <w:rPr>
          <w:rFonts w:ascii="Garamond" w:hAnsi="Garamond" w:cstheme="minorHAnsi"/>
          <w:sz w:val="22"/>
          <w:szCs w:val="22"/>
        </w:rPr>
      </w:pPr>
    </w:p>
    <w:p w14:paraId="33F7DB6F" w14:textId="46A9F49C" w:rsidR="001E0651" w:rsidRDefault="001E0651" w:rsidP="00AA7237">
      <w:pPr>
        <w:rPr>
          <w:rFonts w:ascii="Garamond" w:hAnsi="Garamond" w:cstheme="minorHAnsi"/>
          <w:sz w:val="22"/>
          <w:szCs w:val="22"/>
        </w:rPr>
      </w:pPr>
    </w:p>
    <w:p w14:paraId="0119E2DC" w14:textId="5920D1C2" w:rsidR="001E0651" w:rsidRDefault="001E0651" w:rsidP="00AA7237">
      <w:pPr>
        <w:rPr>
          <w:rFonts w:ascii="Garamond" w:hAnsi="Garamond" w:cstheme="minorHAnsi"/>
          <w:sz w:val="22"/>
          <w:szCs w:val="22"/>
        </w:rPr>
      </w:pPr>
    </w:p>
    <w:p w14:paraId="5B1BF663" w14:textId="5AC82362" w:rsidR="001E0651" w:rsidRDefault="001E0651" w:rsidP="00AA7237">
      <w:pPr>
        <w:rPr>
          <w:rFonts w:ascii="Garamond" w:hAnsi="Garamond" w:cstheme="minorHAnsi"/>
          <w:sz w:val="22"/>
          <w:szCs w:val="22"/>
        </w:rPr>
      </w:pPr>
    </w:p>
    <w:p w14:paraId="4B024443" w14:textId="31019A21" w:rsidR="001E0651" w:rsidRDefault="001E0651" w:rsidP="00AA7237">
      <w:pPr>
        <w:rPr>
          <w:rFonts w:ascii="Garamond" w:hAnsi="Garamond" w:cstheme="minorHAnsi"/>
          <w:sz w:val="22"/>
          <w:szCs w:val="22"/>
        </w:rPr>
      </w:pPr>
    </w:p>
    <w:p w14:paraId="2582AB06" w14:textId="20E7C027" w:rsidR="001E0651" w:rsidRDefault="001E0651" w:rsidP="00AA7237">
      <w:pPr>
        <w:rPr>
          <w:rFonts w:ascii="Garamond" w:hAnsi="Garamond" w:cstheme="minorHAnsi"/>
          <w:sz w:val="22"/>
          <w:szCs w:val="22"/>
        </w:rPr>
      </w:pPr>
    </w:p>
    <w:p w14:paraId="75C349C4" w14:textId="5FF1EDD8" w:rsidR="001E0651" w:rsidRDefault="001E0651" w:rsidP="00AA7237">
      <w:pPr>
        <w:rPr>
          <w:rFonts w:ascii="Garamond" w:hAnsi="Garamond" w:cstheme="minorHAnsi"/>
          <w:sz w:val="22"/>
          <w:szCs w:val="22"/>
        </w:rPr>
      </w:pPr>
    </w:p>
    <w:p w14:paraId="5F3E6B3B" w14:textId="78A4A89F" w:rsidR="001E0651" w:rsidRDefault="001E0651" w:rsidP="00AA7237">
      <w:pPr>
        <w:rPr>
          <w:rFonts w:ascii="Garamond" w:hAnsi="Garamond" w:cstheme="minorHAnsi"/>
          <w:sz w:val="22"/>
          <w:szCs w:val="22"/>
        </w:rPr>
      </w:pPr>
    </w:p>
    <w:p w14:paraId="5FE5D512" w14:textId="0F2BF061" w:rsidR="001E0651" w:rsidRDefault="001E0651" w:rsidP="00AA7237">
      <w:pPr>
        <w:rPr>
          <w:rFonts w:ascii="Garamond" w:hAnsi="Garamond" w:cstheme="minorHAnsi"/>
          <w:sz w:val="22"/>
          <w:szCs w:val="22"/>
        </w:rPr>
      </w:pPr>
    </w:p>
    <w:p w14:paraId="23B16EBD" w14:textId="77777777" w:rsidR="001E0651" w:rsidRDefault="001E0651" w:rsidP="00AA7237">
      <w:pPr>
        <w:rPr>
          <w:rFonts w:ascii="Garamond" w:hAnsi="Garamond" w:cstheme="minorHAnsi"/>
          <w:sz w:val="22"/>
          <w:szCs w:val="22"/>
        </w:rPr>
      </w:pPr>
    </w:p>
    <w:p w14:paraId="66CC7B4F" w14:textId="77777777" w:rsidR="003A6FC6" w:rsidRDefault="003A6FC6" w:rsidP="00AA7237">
      <w:pPr>
        <w:rPr>
          <w:rFonts w:ascii="Garamond" w:hAnsi="Garamond" w:cstheme="minorHAnsi"/>
          <w:sz w:val="22"/>
          <w:szCs w:val="22"/>
        </w:rPr>
      </w:pPr>
    </w:p>
    <w:p w14:paraId="048097DA" w14:textId="77777777" w:rsidR="00D70D0D" w:rsidRDefault="00D70D0D">
      <w:pPr>
        <w:rPr>
          <w:rFonts w:ascii="Garamond" w:hAnsi="Garamond" w:cstheme="minorHAnsi"/>
          <w:b/>
          <w:bCs/>
          <w:sz w:val="22"/>
          <w:szCs w:val="22"/>
        </w:rPr>
      </w:pPr>
      <w:r>
        <w:rPr>
          <w:rFonts w:ascii="Garamond" w:hAnsi="Garamond" w:cstheme="minorHAnsi"/>
          <w:b/>
          <w:bCs/>
          <w:sz w:val="22"/>
          <w:szCs w:val="22"/>
        </w:rPr>
        <w:br w:type="page"/>
      </w:r>
    </w:p>
    <w:p w14:paraId="2486E087" w14:textId="2D61E8C6" w:rsidR="00C33B6A" w:rsidRPr="00D31EB4" w:rsidRDefault="00C33B6A" w:rsidP="00D31EB4">
      <w:pPr>
        <w:pStyle w:val="Heading1"/>
        <w:rPr>
          <w:rFonts w:ascii="Garamond" w:hAnsi="Garamond" w:cstheme="minorHAnsi"/>
          <w:sz w:val="22"/>
          <w:szCs w:val="22"/>
        </w:rPr>
      </w:pPr>
      <w:bookmarkStart w:id="25" w:name="_Toc112161037"/>
      <w:r w:rsidRPr="00D31EB4">
        <w:rPr>
          <w:rFonts w:ascii="Garamond" w:hAnsi="Garamond" w:cstheme="minorHAnsi"/>
          <w:sz w:val="22"/>
          <w:szCs w:val="22"/>
        </w:rPr>
        <w:lastRenderedPageBreak/>
        <w:t xml:space="preserve">Appendix </w:t>
      </w:r>
      <w:r w:rsidR="00B0111B">
        <w:rPr>
          <w:rFonts w:ascii="Garamond" w:hAnsi="Garamond" w:cstheme="minorHAnsi"/>
          <w:sz w:val="22"/>
          <w:szCs w:val="22"/>
        </w:rPr>
        <w:t>G</w:t>
      </w:r>
      <w:r w:rsidRPr="00D31EB4">
        <w:rPr>
          <w:rFonts w:ascii="Garamond" w:hAnsi="Garamond" w:cstheme="minorHAnsi"/>
          <w:sz w:val="22"/>
          <w:szCs w:val="22"/>
        </w:rPr>
        <w:t>: In-Network vs. Out-of-Network reporting</w:t>
      </w:r>
      <w:bookmarkEnd w:id="25"/>
    </w:p>
    <w:p w14:paraId="13FEAFFC" w14:textId="2CB20142" w:rsidR="003A6FC6" w:rsidRPr="00D31EB4" w:rsidRDefault="003A6FC6" w:rsidP="00AA7237">
      <w:pPr>
        <w:rPr>
          <w:rFonts w:ascii="Garamond" w:hAnsi="Garamond" w:cstheme="minorHAnsi"/>
          <w:b/>
          <w:bCs/>
          <w:kern w:val="32"/>
          <w:sz w:val="22"/>
          <w:szCs w:val="22"/>
        </w:rPr>
      </w:pPr>
    </w:p>
    <w:p w14:paraId="43E708FC" w14:textId="1F499DE6" w:rsidR="003A6FC6" w:rsidRDefault="003A6FC6" w:rsidP="00AA7237">
      <w:pPr>
        <w:rPr>
          <w:rFonts w:ascii="Garamond" w:hAnsi="Garamond" w:cstheme="minorHAnsi"/>
          <w:sz w:val="22"/>
          <w:szCs w:val="22"/>
        </w:rPr>
      </w:pPr>
      <w:r>
        <w:rPr>
          <w:rFonts w:ascii="Garamond" w:hAnsi="Garamond" w:cstheme="minorHAnsi"/>
          <w:sz w:val="22"/>
          <w:szCs w:val="22"/>
        </w:rPr>
        <w:t xml:space="preserve">Payers will indicate the </w:t>
      </w:r>
      <w:r w:rsidR="001C79D1">
        <w:rPr>
          <w:rFonts w:ascii="Garamond" w:hAnsi="Garamond" w:cstheme="minorHAnsi"/>
          <w:sz w:val="22"/>
          <w:szCs w:val="22"/>
        </w:rPr>
        <w:t>number</w:t>
      </w:r>
      <w:r>
        <w:rPr>
          <w:rFonts w:ascii="Garamond" w:hAnsi="Garamond" w:cstheme="minorHAnsi"/>
          <w:sz w:val="22"/>
          <w:szCs w:val="22"/>
        </w:rPr>
        <w:t xml:space="preserve"> of providers that are considered In-Network and Out-of-Network. The yellow boxes listed below will allow each submitter to manually enter this information. </w:t>
      </w:r>
    </w:p>
    <w:p w14:paraId="6E10F61A" w14:textId="6BDA38C6" w:rsidR="003A6FC6" w:rsidRDefault="003A6FC6" w:rsidP="00AA7237">
      <w:pPr>
        <w:rPr>
          <w:rFonts w:ascii="Garamond" w:hAnsi="Garamond" w:cstheme="minorHAnsi"/>
          <w:sz w:val="22"/>
          <w:szCs w:val="22"/>
        </w:rPr>
      </w:pPr>
    </w:p>
    <w:p w14:paraId="2DC0EB2F" w14:textId="1039E7B9" w:rsidR="003A6FC6" w:rsidRPr="005C78DA" w:rsidRDefault="003A6FC6" w:rsidP="00AA7237">
      <w:pPr>
        <w:rPr>
          <w:rFonts w:ascii="Garamond" w:hAnsi="Garamond" w:cstheme="minorHAnsi"/>
          <w:sz w:val="22"/>
          <w:szCs w:val="22"/>
        </w:rPr>
      </w:pPr>
      <w:r>
        <w:rPr>
          <w:rFonts w:ascii="Garamond" w:hAnsi="Garamond" w:cstheme="minorHAnsi"/>
          <w:noProof/>
          <w:sz w:val="22"/>
          <w:szCs w:val="22"/>
        </w:rPr>
        <w:drawing>
          <wp:inline distT="0" distB="0" distL="0" distR="0" wp14:anchorId="187B6087" wp14:editId="04985A91">
            <wp:extent cx="8229600" cy="1803400"/>
            <wp:effectExtent l="0" t="0" r="0" b="635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26"/>
                    <a:stretch>
                      <a:fillRect/>
                    </a:stretch>
                  </pic:blipFill>
                  <pic:spPr>
                    <a:xfrm>
                      <a:off x="0" y="0"/>
                      <a:ext cx="8229600" cy="1803400"/>
                    </a:xfrm>
                    <a:prstGeom prst="rect">
                      <a:avLst/>
                    </a:prstGeom>
                  </pic:spPr>
                </pic:pic>
              </a:graphicData>
            </a:graphic>
          </wp:inline>
        </w:drawing>
      </w:r>
    </w:p>
    <w:sectPr w:rsidR="003A6FC6" w:rsidRPr="005C78DA" w:rsidSect="00B4338B">
      <w:footerReference w:type="default" r:id="rId2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E1A1" w14:textId="77777777" w:rsidR="004A5FB9" w:rsidRDefault="004A5FB9">
      <w:r>
        <w:separator/>
      </w:r>
    </w:p>
  </w:endnote>
  <w:endnote w:type="continuationSeparator" w:id="0">
    <w:p w14:paraId="21C4A1D7" w14:textId="77777777" w:rsidR="004A5FB9" w:rsidRDefault="004A5FB9">
      <w:r>
        <w:continuationSeparator/>
      </w:r>
    </w:p>
  </w:endnote>
  <w:endnote w:type="continuationNotice" w:id="1">
    <w:p w14:paraId="752B100E" w14:textId="77777777" w:rsidR="004A5FB9" w:rsidRDefault="004A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LT Semibold">
    <w:altName w:val="Calibri"/>
    <w:panose1 w:val="00000000000000000000"/>
    <w:charset w:val="00"/>
    <w:family w:val="auto"/>
    <w:notTrueType/>
    <w:pitch w:val="variable"/>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StoneSerif L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0B4A" w14:textId="77777777" w:rsidR="00B43B90" w:rsidRDefault="00B43B90" w:rsidP="00D7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FDA97" w14:textId="77777777" w:rsidR="00B43B90" w:rsidRDefault="00B43B90" w:rsidP="009F3EBE">
    <w:pPr>
      <w:pStyle w:val="Footer"/>
      <w:ind w:right="360"/>
    </w:pPr>
  </w:p>
  <w:p w14:paraId="02636F91" w14:textId="77777777" w:rsidR="00B43B90" w:rsidRDefault="00B43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549840"/>
      <w:docPartObj>
        <w:docPartGallery w:val="Page Numbers (Bottom of Page)"/>
        <w:docPartUnique/>
      </w:docPartObj>
    </w:sdtPr>
    <w:sdtEndPr>
      <w:rPr>
        <w:rFonts w:ascii="Garamond" w:hAnsi="Garamond"/>
        <w:noProof/>
        <w:sz w:val="22"/>
        <w:szCs w:val="22"/>
      </w:rPr>
    </w:sdtEndPr>
    <w:sdtContent>
      <w:p w14:paraId="4C10E6A5" w14:textId="5AB8672E" w:rsidR="00B43B90" w:rsidRPr="00E93D3F" w:rsidRDefault="00B43B90">
        <w:pPr>
          <w:pStyle w:val="Footer"/>
          <w:jc w:val="right"/>
          <w:rPr>
            <w:rFonts w:ascii="Garamond" w:hAnsi="Garamond"/>
            <w:sz w:val="22"/>
            <w:szCs w:val="22"/>
          </w:rPr>
        </w:pPr>
        <w:r w:rsidRPr="00E93D3F">
          <w:rPr>
            <w:rFonts w:ascii="Garamond" w:hAnsi="Garamond"/>
            <w:sz w:val="22"/>
            <w:szCs w:val="22"/>
          </w:rPr>
          <w:fldChar w:fldCharType="begin"/>
        </w:r>
        <w:r w:rsidRPr="00E93D3F">
          <w:rPr>
            <w:rFonts w:ascii="Garamond" w:hAnsi="Garamond"/>
            <w:sz w:val="22"/>
            <w:szCs w:val="22"/>
          </w:rPr>
          <w:instrText xml:space="preserve"> PAGE   \* MERGEFORMAT </w:instrText>
        </w:r>
        <w:r w:rsidRPr="00E93D3F">
          <w:rPr>
            <w:rFonts w:ascii="Garamond" w:hAnsi="Garamond"/>
            <w:sz w:val="22"/>
            <w:szCs w:val="22"/>
          </w:rPr>
          <w:fldChar w:fldCharType="separate"/>
        </w:r>
        <w:r w:rsidR="00CA2D4F">
          <w:rPr>
            <w:rFonts w:ascii="Garamond" w:hAnsi="Garamond"/>
            <w:noProof/>
            <w:sz w:val="22"/>
            <w:szCs w:val="22"/>
          </w:rPr>
          <w:t>2</w:t>
        </w:r>
        <w:r w:rsidRPr="00E93D3F">
          <w:rPr>
            <w:rFonts w:ascii="Garamond" w:hAnsi="Garamond"/>
            <w:noProof/>
            <w:sz w:val="22"/>
            <w:szCs w:val="22"/>
          </w:rPr>
          <w:fldChar w:fldCharType="end"/>
        </w:r>
      </w:p>
    </w:sdtContent>
  </w:sdt>
  <w:p w14:paraId="54704892" w14:textId="77777777" w:rsidR="00B43B90" w:rsidRDefault="00B43B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109048"/>
      <w:docPartObj>
        <w:docPartGallery w:val="Page Numbers (Bottom of Page)"/>
        <w:docPartUnique/>
      </w:docPartObj>
    </w:sdtPr>
    <w:sdtEndPr>
      <w:rPr>
        <w:rFonts w:ascii="Garamond" w:hAnsi="Garamond"/>
        <w:noProof/>
        <w:sz w:val="22"/>
        <w:szCs w:val="22"/>
      </w:rPr>
    </w:sdtEndPr>
    <w:sdtContent>
      <w:p w14:paraId="44B7420C" w14:textId="1874040A" w:rsidR="00B43B90" w:rsidRPr="00512B79" w:rsidRDefault="00B43B90">
        <w:pPr>
          <w:pStyle w:val="Footer"/>
          <w:jc w:val="right"/>
          <w:rPr>
            <w:rFonts w:ascii="Garamond" w:hAnsi="Garamond"/>
            <w:sz w:val="22"/>
            <w:szCs w:val="22"/>
          </w:rPr>
        </w:pPr>
        <w:r w:rsidRPr="00512B79">
          <w:rPr>
            <w:rFonts w:ascii="Garamond" w:hAnsi="Garamond"/>
            <w:sz w:val="22"/>
            <w:szCs w:val="22"/>
          </w:rPr>
          <w:fldChar w:fldCharType="begin"/>
        </w:r>
        <w:r w:rsidRPr="00512B79">
          <w:rPr>
            <w:rFonts w:ascii="Garamond" w:hAnsi="Garamond"/>
            <w:sz w:val="22"/>
            <w:szCs w:val="22"/>
          </w:rPr>
          <w:instrText xml:space="preserve"> PAGE   \* MERGEFORMAT </w:instrText>
        </w:r>
        <w:r w:rsidRPr="00512B79">
          <w:rPr>
            <w:rFonts w:ascii="Garamond" w:hAnsi="Garamond"/>
            <w:sz w:val="22"/>
            <w:szCs w:val="22"/>
          </w:rPr>
          <w:fldChar w:fldCharType="separate"/>
        </w:r>
        <w:r w:rsidR="00CA2D4F">
          <w:rPr>
            <w:rFonts w:ascii="Garamond" w:hAnsi="Garamond"/>
            <w:noProof/>
            <w:sz w:val="22"/>
            <w:szCs w:val="22"/>
          </w:rPr>
          <w:t>14</w:t>
        </w:r>
        <w:r w:rsidRPr="00512B79">
          <w:rPr>
            <w:rFonts w:ascii="Garamond" w:hAnsi="Garamond"/>
            <w:noProof/>
            <w:sz w:val="22"/>
            <w:szCs w:val="22"/>
          </w:rPr>
          <w:fldChar w:fldCharType="end"/>
        </w:r>
      </w:p>
    </w:sdtContent>
  </w:sdt>
  <w:p w14:paraId="65712C9E" w14:textId="77777777" w:rsidR="00B43B90" w:rsidRDefault="00B43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37936"/>
      <w:docPartObj>
        <w:docPartGallery w:val="Page Numbers (Bottom of Page)"/>
        <w:docPartUnique/>
      </w:docPartObj>
    </w:sdtPr>
    <w:sdtEndPr>
      <w:rPr>
        <w:rFonts w:ascii="Garamond" w:hAnsi="Garamond"/>
        <w:noProof/>
        <w:sz w:val="22"/>
        <w:szCs w:val="22"/>
      </w:rPr>
    </w:sdtEndPr>
    <w:sdtContent>
      <w:p w14:paraId="26C49EE3" w14:textId="66E62660" w:rsidR="00B43B90" w:rsidRPr="00E93D3F" w:rsidRDefault="00B43B90">
        <w:pPr>
          <w:pStyle w:val="Footer"/>
          <w:jc w:val="right"/>
          <w:rPr>
            <w:rFonts w:ascii="Garamond" w:hAnsi="Garamond"/>
            <w:sz w:val="22"/>
            <w:szCs w:val="22"/>
          </w:rPr>
        </w:pPr>
        <w:r w:rsidRPr="00E93D3F">
          <w:rPr>
            <w:rFonts w:ascii="Garamond" w:hAnsi="Garamond"/>
            <w:sz w:val="22"/>
            <w:szCs w:val="22"/>
          </w:rPr>
          <w:fldChar w:fldCharType="begin"/>
        </w:r>
        <w:r w:rsidRPr="00E93D3F">
          <w:rPr>
            <w:rFonts w:ascii="Garamond" w:hAnsi="Garamond"/>
            <w:sz w:val="22"/>
            <w:szCs w:val="22"/>
          </w:rPr>
          <w:instrText xml:space="preserve"> PAGE   \* MERGEFORMAT </w:instrText>
        </w:r>
        <w:r w:rsidRPr="00E93D3F">
          <w:rPr>
            <w:rFonts w:ascii="Garamond" w:hAnsi="Garamond"/>
            <w:sz w:val="22"/>
            <w:szCs w:val="22"/>
          </w:rPr>
          <w:fldChar w:fldCharType="separate"/>
        </w:r>
        <w:r w:rsidR="00CA2D4F">
          <w:rPr>
            <w:rFonts w:ascii="Garamond" w:hAnsi="Garamond"/>
            <w:noProof/>
            <w:sz w:val="22"/>
            <w:szCs w:val="22"/>
          </w:rPr>
          <w:t>20</w:t>
        </w:r>
        <w:r w:rsidRPr="00E93D3F">
          <w:rPr>
            <w:rFonts w:ascii="Garamond" w:hAnsi="Garamond"/>
            <w:noProof/>
            <w:sz w:val="22"/>
            <w:szCs w:val="22"/>
          </w:rPr>
          <w:fldChar w:fldCharType="end"/>
        </w:r>
      </w:p>
    </w:sdtContent>
  </w:sdt>
  <w:p w14:paraId="2C3D1288" w14:textId="77777777" w:rsidR="00B43B90" w:rsidRPr="009F3EBE" w:rsidRDefault="00B43B90" w:rsidP="009F3EBE">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20E8" w14:textId="77777777" w:rsidR="004A5FB9" w:rsidRDefault="004A5FB9">
      <w:r>
        <w:separator/>
      </w:r>
    </w:p>
  </w:footnote>
  <w:footnote w:type="continuationSeparator" w:id="0">
    <w:p w14:paraId="6D67265F" w14:textId="77777777" w:rsidR="004A5FB9" w:rsidRDefault="004A5FB9">
      <w:r>
        <w:continuationSeparator/>
      </w:r>
    </w:p>
  </w:footnote>
  <w:footnote w:type="continuationNotice" w:id="1">
    <w:p w14:paraId="6508AB59" w14:textId="77777777" w:rsidR="004A5FB9" w:rsidRDefault="004A5FB9"/>
  </w:footnote>
  <w:footnote w:id="2">
    <w:p w14:paraId="278915C2" w14:textId="75292FFA" w:rsidR="00B43B90" w:rsidRPr="005C78DA" w:rsidRDefault="00B43B90">
      <w:pPr>
        <w:pStyle w:val="FootnoteText"/>
        <w:rPr>
          <w:rFonts w:ascii="Garamond" w:hAnsi="Garamond" w:cstheme="minorHAnsi"/>
        </w:rPr>
      </w:pPr>
      <w:r w:rsidRPr="005C78DA">
        <w:rPr>
          <w:rStyle w:val="FootnoteReference"/>
          <w:rFonts w:ascii="Garamond" w:hAnsi="Garamond" w:cstheme="minorHAnsi"/>
        </w:rPr>
        <w:footnoteRef/>
      </w:r>
      <w:r w:rsidRPr="005C78DA">
        <w:rPr>
          <w:rFonts w:ascii="Garamond" w:hAnsi="Garamond" w:cstheme="minorHAnsi"/>
        </w:rPr>
        <w:t xml:space="preserve"> For more information on </w:t>
      </w:r>
      <w:r>
        <w:rPr>
          <w:rFonts w:ascii="Garamond" w:hAnsi="Garamond" w:cstheme="minorHAnsi"/>
        </w:rPr>
        <w:t>CHIA Submissions</w:t>
      </w:r>
      <w:r w:rsidRPr="005C78DA">
        <w:rPr>
          <w:rFonts w:ascii="Garamond" w:hAnsi="Garamond" w:cstheme="minorHAnsi"/>
        </w:rPr>
        <w:t>, including registration forms and submission instructions, please see CHIA website (</w:t>
      </w:r>
      <w:hyperlink r:id="rId1" w:history="1">
        <w:r w:rsidRPr="00512B79">
          <w:rPr>
            <w:rStyle w:val="Hyperlink"/>
            <w:rFonts w:ascii="Garamond" w:hAnsi="Garamond" w:cstheme="minorHAnsi"/>
          </w:rPr>
          <w:t>http://chiamass.gov/information-for-data-submitters-payer-data-reporting/</w:t>
        </w:r>
      </w:hyperlink>
      <w:r w:rsidRPr="005C78DA">
        <w:rPr>
          <w:rFonts w:ascii="Garamond" w:hAnsi="Garamond"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61C3"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957 CMR 2.00</w:t>
    </w:r>
  </w:p>
  <w:p w14:paraId="2D35318F"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Payer Reporting of Relative Prices</w:t>
    </w:r>
  </w:p>
  <w:p w14:paraId="6CBB0BDF" w14:textId="77777777" w:rsidR="00B43B90" w:rsidRPr="00AE1831" w:rsidRDefault="00B43B90" w:rsidP="0002389B">
    <w:pPr>
      <w:pStyle w:val="Default"/>
      <w:jc w:val="center"/>
      <w:rPr>
        <w:rFonts w:ascii="Garamond" w:hAnsi="Garamond"/>
        <w:b/>
        <w:bCs/>
        <w:sz w:val="22"/>
      </w:rPr>
    </w:pPr>
    <w:r w:rsidRPr="00AE1831">
      <w:rPr>
        <w:rFonts w:ascii="Garamond" w:hAnsi="Garamond"/>
        <w:b/>
        <w:bCs/>
        <w:sz w:val="22"/>
      </w:rPr>
      <w:t>Data Specification Manual</w:t>
    </w:r>
  </w:p>
  <w:p w14:paraId="5EC34A71" w14:textId="77777777" w:rsidR="00B43B90" w:rsidRPr="0002389B" w:rsidRDefault="00B43B90">
    <w:pPr>
      <w:pStyle w:val="Header"/>
      <w:rPr>
        <w:rFonts w:ascii="Garamond" w:hAnsi="Garamond"/>
      </w:rPr>
    </w:pPr>
  </w:p>
  <w:p w14:paraId="7BAD4F7C" w14:textId="77777777" w:rsidR="00B43B90" w:rsidRDefault="00B43B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2D7"/>
    <w:multiLevelType w:val="hybridMultilevel"/>
    <w:tmpl w:val="0186ACC0"/>
    <w:lvl w:ilvl="0" w:tplc="ABEAD600">
      <w:start w:val="1"/>
      <w:numFmt w:val="bullet"/>
      <w:lvlText w:val="•"/>
      <w:lvlJc w:val="left"/>
      <w:pPr>
        <w:tabs>
          <w:tab w:val="num" w:pos="720"/>
        </w:tabs>
        <w:ind w:left="720" w:hanging="360"/>
      </w:pPr>
      <w:rPr>
        <w:rFonts w:ascii="Times New Roman" w:hAnsi="Times New Roman" w:hint="default"/>
      </w:rPr>
    </w:lvl>
    <w:lvl w:ilvl="1" w:tplc="65DAC9D6" w:tentative="1">
      <w:start w:val="1"/>
      <w:numFmt w:val="bullet"/>
      <w:lvlText w:val="•"/>
      <w:lvlJc w:val="left"/>
      <w:pPr>
        <w:tabs>
          <w:tab w:val="num" w:pos="1440"/>
        </w:tabs>
        <w:ind w:left="1440" w:hanging="360"/>
      </w:pPr>
      <w:rPr>
        <w:rFonts w:ascii="Times New Roman" w:hAnsi="Times New Roman" w:hint="default"/>
      </w:rPr>
    </w:lvl>
    <w:lvl w:ilvl="2" w:tplc="B616F7E6" w:tentative="1">
      <w:start w:val="1"/>
      <w:numFmt w:val="bullet"/>
      <w:lvlText w:val="•"/>
      <w:lvlJc w:val="left"/>
      <w:pPr>
        <w:tabs>
          <w:tab w:val="num" w:pos="2160"/>
        </w:tabs>
        <w:ind w:left="2160" w:hanging="360"/>
      </w:pPr>
      <w:rPr>
        <w:rFonts w:ascii="Times New Roman" w:hAnsi="Times New Roman" w:hint="default"/>
      </w:rPr>
    </w:lvl>
    <w:lvl w:ilvl="3" w:tplc="D27ED686" w:tentative="1">
      <w:start w:val="1"/>
      <w:numFmt w:val="bullet"/>
      <w:lvlText w:val="•"/>
      <w:lvlJc w:val="left"/>
      <w:pPr>
        <w:tabs>
          <w:tab w:val="num" w:pos="2880"/>
        </w:tabs>
        <w:ind w:left="2880" w:hanging="360"/>
      </w:pPr>
      <w:rPr>
        <w:rFonts w:ascii="Times New Roman" w:hAnsi="Times New Roman" w:hint="default"/>
      </w:rPr>
    </w:lvl>
    <w:lvl w:ilvl="4" w:tplc="6CE884F8" w:tentative="1">
      <w:start w:val="1"/>
      <w:numFmt w:val="bullet"/>
      <w:lvlText w:val="•"/>
      <w:lvlJc w:val="left"/>
      <w:pPr>
        <w:tabs>
          <w:tab w:val="num" w:pos="3600"/>
        </w:tabs>
        <w:ind w:left="3600" w:hanging="360"/>
      </w:pPr>
      <w:rPr>
        <w:rFonts w:ascii="Times New Roman" w:hAnsi="Times New Roman" w:hint="default"/>
      </w:rPr>
    </w:lvl>
    <w:lvl w:ilvl="5" w:tplc="835837C8" w:tentative="1">
      <w:start w:val="1"/>
      <w:numFmt w:val="bullet"/>
      <w:lvlText w:val="•"/>
      <w:lvlJc w:val="left"/>
      <w:pPr>
        <w:tabs>
          <w:tab w:val="num" w:pos="4320"/>
        </w:tabs>
        <w:ind w:left="4320" w:hanging="360"/>
      </w:pPr>
      <w:rPr>
        <w:rFonts w:ascii="Times New Roman" w:hAnsi="Times New Roman" w:hint="default"/>
      </w:rPr>
    </w:lvl>
    <w:lvl w:ilvl="6" w:tplc="52D4F1EC" w:tentative="1">
      <w:start w:val="1"/>
      <w:numFmt w:val="bullet"/>
      <w:lvlText w:val="•"/>
      <w:lvlJc w:val="left"/>
      <w:pPr>
        <w:tabs>
          <w:tab w:val="num" w:pos="5040"/>
        </w:tabs>
        <w:ind w:left="5040" w:hanging="360"/>
      </w:pPr>
      <w:rPr>
        <w:rFonts w:ascii="Times New Roman" w:hAnsi="Times New Roman" w:hint="default"/>
      </w:rPr>
    </w:lvl>
    <w:lvl w:ilvl="7" w:tplc="8DF69EEC" w:tentative="1">
      <w:start w:val="1"/>
      <w:numFmt w:val="bullet"/>
      <w:lvlText w:val="•"/>
      <w:lvlJc w:val="left"/>
      <w:pPr>
        <w:tabs>
          <w:tab w:val="num" w:pos="5760"/>
        </w:tabs>
        <w:ind w:left="5760" w:hanging="360"/>
      </w:pPr>
      <w:rPr>
        <w:rFonts w:ascii="Times New Roman" w:hAnsi="Times New Roman" w:hint="default"/>
      </w:rPr>
    </w:lvl>
    <w:lvl w:ilvl="8" w:tplc="5470A3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142AA8"/>
    <w:multiLevelType w:val="hybridMultilevel"/>
    <w:tmpl w:val="BBD4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13D8A"/>
    <w:multiLevelType w:val="hybridMultilevel"/>
    <w:tmpl w:val="C846A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76619E"/>
    <w:multiLevelType w:val="hybridMultilevel"/>
    <w:tmpl w:val="548CFFD0"/>
    <w:lvl w:ilvl="0" w:tplc="83E44D70">
      <w:start w:val="1"/>
      <w:numFmt w:val="bullet"/>
      <w:lvlText w:val="•"/>
      <w:lvlJc w:val="left"/>
      <w:pPr>
        <w:tabs>
          <w:tab w:val="num" w:pos="720"/>
        </w:tabs>
        <w:ind w:left="720" w:hanging="360"/>
      </w:pPr>
      <w:rPr>
        <w:rFonts w:ascii="Times New Roman" w:hAnsi="Times New Roman" w:hint="default"/>
      </w:rPr>
    </w:lvl>
    <w:lvl w:ilvl="1" w:tplc="4CA0EDA4" w:tentative="1">
      <w:start w:val="1"/>
      <w:numFmt w:val="bullet"/>
      <w:lvlText w:val="•"/>
      <w:lvlJc w:val="left"/>
      <w:pPr>
        <w:tabs>
          <w:tab w:val="num" w:pos="1440"/>
        </w:tabs>
        <w:ind w:left="1440" w:hanging="360"/>
      </w:pPr>
      <w:rPr>
        <w:rFonts w:ascii="Times New Roman" w:hAnsi="Times New Roman" w:hint="default"/>
      </w:rPr>
    </w:lvl>
    <w:lvl w:ilvl="2" w:tplc="617C628A" w:tentative="1">
      <w:start w:val="1"/>
      <w:numFmt w:val="bullet"/>
      <w:lvlText w:val="•"/>
      <w:lvlJc w:val="left"/>
      <w:pPr>
        <w:tabs>
          <w:tab w:val="num" w:pos="2160"/>
        </w:tabs>
        <w:ind w:left="2160" w:hanging="360"/>
      </w:pPr>
      <w:rPr>
        <w:rFonts w:ascii="Times New Roman" w:hAnsi="Times New Roman" w:hint="default"/>
      </w:rPr>
    </w:lvl>
    <w:lvl w:ilvl="3" w:tplc="D0B40B94" w:tentative="1">
      <w:start w:val="1"/>
      <w:numFmt w:val="bullet"/>
      <w:lvlText w:val="•"/>
      <w:lvlJc w:val="left"/>
      <w:pPr>
        <w:tabs>
          <w:tab w:val="num" w:pos="2880"/>
        </w:tabs>
        <w:ind w:left="2880" w:hanging="360"/>
      </w:pPr>
      <w:rPr>
        <w:rFonts w:ascii="Times New Roman" w:hAnsi="Times New Roman" w:hint="default"/>
      </w:rPr>
    </w:lvl>
    <w:lvl w:ilvl="4" w:tplc="A96AE1E8" w:tentative="1">
      <w:start w:val="1"/>
      <w:numFmt w:val="bullet"/>
      <w:lvlText w:val="•"/>
      <w:lvlJc w:val="left"/>
      <w:pPr>
        <w:tabs>
          <w:tab w:val="num" w:pos="3600"/>
        </w:tabs>
        <w:ind w:left="3600" w:hanging="360"/>
      </w:pPr>
      <w:rPr>
        <w:rFonts w:ascii="Times New Roman" w:hAnsi="Times New Roman" w:hint="default"/>
      </w:rPr>
    </w:lvl>
    <w:lvl w:ilvl="5" w:tplc="03A2994C" w:tentative="1">
      <w:start w:val="1"/>
      <w:numFmt w:val="bullet"/>
      <w:lvlText w:val="•"/>
      <w:lvlJc w:val="left"/>
      <w:pPr>
        <w:tabs>
          <w:tab w:val="num" w:pos="4320"/>
        </w:tabs>
        <w:ind w:left="4320" w:hanging="360"/>
      </w:pPr>
      <w:rPr>
        <w:rFonts w:ascii="Times New Roman" w:hAnsi="Times New Roman" w:hint="default"/>
      </w:rPr>
    </w:lvl>
    <w:lvl w:ilvl="6" w:tplc="740E9766" w:tentative="1">
      <w:start w:val="1"/>
      <w:numFmt w:val="bullet"/>
      <w:lvlText w:val="•"/>
      <w:lvlJc w:val="left"/>
      <w:pPr>
        <w:tabs>
          <w:tab w:val="num" w:pos="5040"/>
        </w:tabs>
        <w:ind w:left="5040" w:hanging="360"/>
      </w:pPr>
      <w:rPr>
        <w:rFonts w:ascii="Times New Roman" w:hAnsi="Times New Roman" w:hint="default"/>
      </w:rPr>
    </w:lvl>
    <w:lvl w:ilvl="7" w:tplc="D34222EA" w:tentative="1">
      <w:start w:val="1"/>
      <w:numFmt w:val="bullet"/>
      <w:lvlText w:val="•"/>
      <w:lvlJc w:val="left"/>
      <w:pPr>
        <w:tabs>
          <w:tab w:val="num" w:pos="5760"/>
        </w:tabs>
        <w:ind w:left="5760" w:hanging="360"/>
      </w:pPr>
      <w:rPr>
        <w:rFonts w:ascii="Times New Roman" w:hAnsi="Times New Roman" w:hint="default"/>
      </w:rPr>
    </w:lvl>
    <w:lvl w:ilvl="8" w:tplc="B4F010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D81863"/>
    <w:multiLevelType w:val="hybridMultilevel"/>
    <w:tmpl w:val="9D5E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52C3C"/>
    <w:multiLevelType w:val="hybridMultilevel"/>
    <w:tmpl w:val="901CF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54FF7"/>
    <w:multiLevelType w:val="hybridMultilevel"/>
    <w:tmpl w:val="485C7856"/>
    <w:lvl w:ilvl="0" w:tplc="B706D8A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86BA2AEC">
      <w:start w:val="1"/>
      <w:numFmt w:val="bullet"/>
      <w:lvlText w:val=""/>
      <w:lvlJc w:val="left"/>
      <w:pPr>
        <w:tabs>
          <w:tab w:val="num" w:pos="1980"/>
        </w:tabs>
        <w:ind w:left="1980" w:hanging="360"/>
      </w:pPr>
      <w:rPr>
        <w:rFonts w:ascii="Symbol" w:hAnsi="Symbol" w:hint="default"/>
        <w:b/>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8266BC"/>
    <w:multiLevelType w:val="hybridMultilevel"/>
    <w:tmpl w:val="129A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E43E1"/>
    <w:multiLevelType w:val="hybridMultilevel"/>
    <w:tmpl w:val="821A7D20"/>
    <w:lvl w:ilvl="0" w:tplc="9490DD62">
      <w:start w:val="1"/>
      <w:numFmt w:val="bullet"/>
      <w:lvlText w:val="•"/>
      <w:lvlJc w:val="left"/>
      <w:pPr>
        <w:tabs>
          <w:tab w:val="num" w:pos="720"/>
        </w:tabs>
        <w:ind w:left="720" w:hanging="360"/>
      </w:pPr>
      <w:rPr>
        <w:rFonts w:ascii="Times New Roman" w:hAnsi="Times New Roman" w:hint="default"/>
      </w:rPr>
    </w:lvl>
    <w:lvl w:ilvl="1" w:tplc="7BEA1DA4" w:tentative="1">
      <w:start w:val="1"/>
      <w:numFmt w:val="bullet"/>
      <w:lvlText w:val="•"/>
      <w:lvlJc w:val="left"/>
      <w:pPr>
        <w:tabs>
          <w:tab w:val="num" w:pos="1440"/>
        </w:tabs>
        <w:ind w:left="1440" w:hanging="360"/>
      </w:pPr>
      <w:rPr>
        <w:rFonts w:ascii="Times New Roman" w:hAnsi="Times New Roman" w:hint="default"/>
      </w:rPr>
    </w:lvl>
    <w:lvl w:ilvl="2" w:tplc="6C9052B0" w:tentative="1">
      <w:start w:val="1"/>
      <w:numFmt w:val="bullet"/>
      <w:lvlText w:val="•"/>
      <w:lvlJc w:val="left"/>
      <w:pPr>
        <w:tabs>
          <w:tab w:val="num" w:pos="2160"/>
        </w:tabs>
        <w:ind w:left="2160" w:hanging="360"/>
      </w:pPr>
      <w:rPr>
        <w:rFonts w:ascii="Times New Roman" w:hAnsi="Times New Roman" w:hint="default"/>
      </w:rPr>
    </w:lvl>
    <w:lvl w:ilvl="3" w:tplc="9D5ECF4A" w:tentative="1">
      <w:start w:val="1"/>
      <w:numFmt w:val="bullet"/>
      <w:lvlText w:val="•"/>
      <w:lvlJc w:val="left"/>
      <w:pPr>
        <w:tabs>
          <w:tab w:val="num" w:pos="2880"/>
        </w:tabs>
        <w:ind w:left="2880" w:hanging="360"/>
      </w:pPr>
      <w:rPr>
        <w:rFonts w:ascii="Times New Roman" w:hAnsi="Times New Roman" w:hint="default"/>
      </w:rPr>
    </w:lvl>
    <w:lvl w:ilvl="4" w:tplc="00CE5D36" w:tentative="1">
      <w:start w:val="1"/>
      <w:numFmt w:val="bullet"/>
      <w:lvlText w:val="•"/>
      <w:lvlJc w:val="left"/>
      <w:pPr>
        <w:tabs>
          <w:tab w:val="num" w:pos="3600"/>
        </w:tabs>
        <w:ind w:left="3600" w:hanging="360"/>
      </w:pPr>
      <w:rPr>
        <w:rFonts w:ascii="Times New Roman" w:hAnsi="Times New Roman" w:hint="default"/>
      </w:rPr>
    </w:lvl>
    <w:lvl w:ilvl="5" w:tplc="4A842DEA" w:tentative="1">
      <w:start w:val="1"/>
      <w:numFmt w:val="bullet"/>
      <w:lvlText w:val="•"/>
      <w:lvlJc w:val="left"/>
      <w:pPr>
        <w:tabs>
          <w:tab w:val="num" w:pos="4320"/>
        </w:tabs>
        <w:ind w:left="4320" w:hanging="360"/>
      </w:pPr>
      <w:rPr>
        <w:rFonts w:ascii="Times New Roman" w:hAnsi="Times New Roman" w:hint="default"/>
      </w:rPr>
    </w:lvl>
    <w:lvl w:ilvl="6" w:tplc="E87EBD18" w:tentative="1">
      <w:start w:val="1"/>
      <w:numFmt w:val="bullet"/>
      <w:lvlText w:val="•"/>
      <w:lvlJc w:val="left"/>
      <w:pPr>
        <w:tabs>
          <w:tab w:val="num" w:pos="5040"/>
        </w:tabs>
        <w:ind w:left="5040" w:hanging="360"/>
      </w:pPr>
      <w:rPr>
        <w:rFonts w:ascii="Times New Roman" w:hAnsi="Times New Roman" w:hint="default"/>
      </w:rPr>
    </w:lvl>
    <w:lvl w:ilvl="7" w:tplc="DB1AFB5E" w:tentative="1">
      <w:start w:val="1"/>
      <w:numFmt w:val="bullet"/>
      <w:lvlText w:val="•"/>
      <w:lvlJc w:val="left"/>
      <w:pPr>
        <w:tabs>
          <w:tab w:val="num" w:pos="5760"/>
        </w:tabs>
        <w:ind w:left="5760" w:hanging="360"/>
      </w:pPr>
      <w:rPr>
        <w:rFonts w:ascii="Times New Roman" w:hAnsi="Times New Roman" w:hint="default"/>
      </w:rPr>
    </w:lvl>
    <w:lvl w:ilvl="8" w:tplc="F5B26E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2DC6D89"/>
    <w:multiLevelType w:val="hybridMultilevel"/>
    <w:tmpl w:val="BB1E0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EB57D2"/>
    <w:multiLevelType w:val="hybridMultilevel"/>
    <w:tmpl w:val="D52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21C3D"/>
    <w:multiLevelType w:val="hybridMultilevel"/>
    <w:tmpl w:val="C448A832"/>
    <w:lvl w:ilvl="0" w:tplc="008A2BB2">
      <w:start w:val="1"/>
      <w:numFmt w:val="decimal"/>
      <w:lvlText w:val="%1."/>
      <w:lvlJc w:val="left"/>
      <w:pPr>
        <w:ind w:left="720" w:hanging="360"/>
      </w:pPr>
    </w:lvl>
    <w:lvl w:ilvl="1" w:tplc="976A32A4">
      <w:start w:val="1"/>
      <w:numFmt w:val="lowerLetter"/>
      <w:lvlText w:val="%2."/>
      <w:lvlJc w:val="left"/>
      <w:pPr>
        <w:ind w:left="1440" w:hanging="360"/>
      </w:pPr>
    </w:lvl>
    <w:lvl w:ilvl="2" w:tplc="41C6C68A">
      <w:start w:val="1"/>
      <w:numFmt w:val="lowerRoman"/>
      <w:lvlText w:val="%3."/>
      <w:lvlJc w:val="right"/>
      <w:pPr>
        <w:ind w:left="2160" w:hanging="180"/>
      </w:pPr>
    </w:lvl>
    <w:lvl w:ilvl="3" w:tplc="25163D0A">
      <w:start w:val="1"/>
      <w:numFmt w:val="decimal"/>
      <w:lvlText w:val="%4."/>
      <w:lvlJc w:val="left"/>
      <w:pPr>
        <w:ind w:left="2880" w:hanging="360"/>
      </w:pPr>
    </w:lvl>
    <w:lvl w:ilvl="4" w:tplc="1024B47E">
      <w:start w:val="1"/>
      <w:numFmt w:val="lowerLetter"/>
      <w:lvlText w:val="%5."/>
      <w:lvlJc w:val="left"/>
      <w:pPr>
        <w:ind w:left="3600" w:hanging="360"/>
      </w:pPr>
    </w:lvl>
    <w:lvl w:ilvl="5" w:tplc="E6D4E676">
      <w:start w:val="1"/>
      <w:numFmt w:val="lowerRoman"/>
      <w:lvlText w:val="%6."/>
      <w:lvlJc w:val="right"/>
      <w:pPr>
        <w:ind w:left="4320" w:hanging="180"/>
      </w:pPr>
    </w:lvl>
    <w:lvl w:ilvl="6" w:tplc="C09CB0DE">
      <w:start w:val="1"/>
      <w:numFmt w:val="decimal"/>
      <w:lvlText w:val="%7."/>
      <w:lvlJc w:val="left"/>
      <w:pPr>
        <w:ind w:left="5040" w:hanging="360"/>
      </w:pPr>
    </w:lvl>
    <w:lvl w:ilvl="7" w:tplc="E8F0C960">
      <w:start w:val="1"/>
      <w:numFmt w:val="lowerLetter"/>
      <w:lvlText w:val="%8."/>
      <w:lvlJc w:val="left"/>
      <w:pPr>
        <w:ind w:left="5760" w:hanging="360"/>
      </w:pPr>
    </w:lvl>
    <w:lvl w:ilvl="8" w:tplc="166A2B08">
      <w:start w:val="1"/>
      <w:numFmt w:val="lowerRoman"/>
      <w:lvlText w:val="%9."/>
      <w:lvlJc w:val="right"/>
      <w:pPr>
        <w:ind w:left="6480" w:hanging="180"/>
      </w:pPr>
    </w:lvl>
  </w:abstractNum>
  <w:abstractNum w:abstractNumId="12" w15:restartNumberingAfterBreak="0">
    <w:nsid w:val="6E091BD8"/>
    <w:multiLevelType w:val="hybridMultilevel"/>
    <w:tmpl w:val="B04ABC54"/>
    <w:lvl w:ilvl="0" w:tplc="49E65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D7EB6"/>
    <w:multiLevelType w:val="hybridMultilevel"/>
    <w:tmpl w:val="B1DCCC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2696411">
    <w:abstractNumId w:val="11"/>
  </w:num>
  <w:num w:numId="2" w16cid:durableId="2055885898">
    <w:abstractNumId w:val="6"/>
  </w:num>
  <w:num w:numId="3" w16cid:durableId="478770965">
    <w:abstractNumId w:val="2"/>
  </w:num>
  <w:num w:numId="4" w16cid:durableId="1190603260">
    <w:abstractNumId w:val="13"/>
  </w:num>
  <w:num w:numId="5" w16cid:durableId="760764126">
    <w:abstractNumId w:val="7"/>
  </w:num>
  <w:num w:numId="6" w16cid:durableId="702093338">
    <w:abstractNumId w:val="5"/>
  </w:num>
  <w:num w:numId="7" w16cid:durableId="898441416">
    <w:abstractNumId w:val="10"/>
  </w:num>
  <w:num w:numId="8" w16cid:durableId="588661148">
    <w:abstractNumId w:val="12"/>
  </w:num>
  <w:num w:numId="9" w16cid:durableId="274675495">
    <w:abstractNumId w:val="1"/>
  </w:num>
  <w:num w:numId="10" w16cid:durableId="942767727">
    <w:abstractNumId w:val="4"/>
  </w:num>
  <w:num w:numId="11" w16cid:durableId="1956405344">
    <w:abstractNumId w:val="9"/>
  </w:num>
  <w:num w:numId="12" w16cid:durableId="1485318535">
    <w:abstractNumId w:val="3"/>
  </w:num>
  <w:num w:numId="13" w16cid:durableId="1939829132">
    <w:abstractNumId w:val="0"/>
  </w:num>
  <w:num w:numId="14" w16cid:durableId="270240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87AFD"/>
    <w:rsid w:val="0000045C"/>
    <w:rsid w:val="00000774"/>
    <w:rsid w:val="00005C86"/>
    <w:rsid w:val="00007460"/>
    <w:rsid w:val="00007D10"/>
    <w:rsid w:val="000108AD"/>
    <w:rsid w:val="0001106F"/>
    <w:rsid w:val="000110AE"/>
    <w:rsid w:val="00011E5D"/>
    <w:rsid w:val="0001246E"/>
    <w:rsid w:val="00013E7D"/>
    <w:rsid w:val="00015DB5"/>
    <w:rsid w:val="0001792C"/>
    <w:rsid w:val="0002154A"/>
    <w:rsid w:val="00021D0A"/>
    <w:rsid w:val="000221FF"/>
    <w:rsid w:val="00023489"/>
    <w:rsid w:val="0002389B"/>
    <w:rsid w:val="000253FD"/>
    <w:rsid w:val="00026BDC"/>
    <w:rsid w:val="00026E77"/>
    <w:rsid w:val="000304F1"/>
    <w:rsid w:val="00034BB2"/>
    <w:rsid w:val="00035054"/>
    <w:rsid w:val="00036835"/>
    <w:rsid w:val="0003797A"/>
    <w:rsid w:val="0004082C"/>
    <w:rsid w:val="00040957"/>
    <w:rsid w:val="000421A1"/>
    <w:rsid w:val="00043364"/>
    <w:rsid w:val="0004512F"/>
    <w:rsid w:val="00047F26"/>
    <w:rsid w:val="0005002C"/>
    <w:rsid w:val="00050E75"/>
    <w:rsid w:val="00052EDB"/>
    <w:rsid w:val="00054A23"/>
    <w:rsid w:val="000558AD"/>
    <w:rsid w:val="00056041"/>
    <w:rsid w:val="000605AC"/>
    <w:rsid w:val="000624C5"/>
    <w:rsid w:val="00065C8D"/>
    <w:rsid w:val="00067C2F"/>
    <w:rsid w:val="00067CA5"/>
    <w:rsid w:val="000706E8"/>
    <w:rsid w:val="00072207"/>
    <w:rsid w:val="00072A7C"/>
    <w:rsid w:val="000771A0"/>
    <w:rsid w:val="00077EF1"/>
    <w:rsid w:val="000804AA"/>
    <w:rsid w:val="00083D16"/>
    <w:rsid w:val="0009049C"/>
    <w:rsid w:val="00094451"/>
    <w:rsid w:val="00094821"/>
    <w:rsid w:val="00096FEE"/>
    <w:rsid w:val="0009782A"/>
    <w:rsid w:val="000A19B9"/>
    <w:rsid w:val="000A38D1"/>
    <w:rsid w:val="000A410F"/>
    <w:rsid w:val="000A5221"/>
    <w:rsid w:val="000B0401"/>
    <w:rsid w:val="000B0959"/>
    <w:rsid w:val="000B4A2C"/>
    <w:rsid w:val="000B55C7"/>
    <w:rsid w:val="000C03DF"/>
    <w:rsid w:val="000C0DD0"/>
    <w:rsid w:val="000C2DC6"/>
    <w:rsid w:val="000C30AC"/>
    <w:rsid w:val="000C3335"/>
    <w:rsid w:val="000C6042"/>
    <w:rsid w:val="000C6AA4"/>
    <w:rsid w:val="000C711B"/>
    <w:rsid w:val="000D028D"/>
    <w:rsid w:val="000D1711"/>
    <w:rsid w:val="000D2B68"/>
    <w:rsid w:val="000D3BE3"/>
    <w:rsid w:val="000D7454"/>
    <w:rsid w:val="000E0006"/>
    <w:rsid w:val="000E0D74"/>
    <w:rsid w:val="000E1846"/>
    <w:rsid w:val="000F011E"/>
    <w:rsid w:val="000F2762"/>
    <w:rsid w:val="000F3AE1"/>
    <w:rsid w:val="000F3F4A"/>
    <w:rsid w:val="000F695D"/>
    <w:rsid w:val="000F7846"/>
    <w:rsid w:val="00100ADF"/>
    <w:rsid w:val="00106458"/>
    <w:rsid w:val="001067F4"/>
    <w:rsid w:val="00106F25"/>
    <w:rsid w:val="0010723D"/>
    <w:rsid w:val="00110DC2"/>
    <w:rsid w:val="00111EBB"/>
    <w:rsid w:val="00113CDF"/>
    <w:rsid w:val="001145BB"/>
    <w:rsid w:val="00114DBB"/>
    <w:rsid w:val="001151CF"/>
    <w:rsid w:val="00116440"/>
    <w:rsid w:val="001208FC"/>
    <w:rsid w:val="0012130E"/>
    <w:rsid w:val="001227D4"/>
    <w:rsid w:val="001230B3"/>
    <w:rsid w:val="00123724"/>
    <w:rsid w:val="0012385B"/>
    <w:rsid w:val="001260D5"/>
    <w:rsid w:val="001269DB"/>
    <w:rsid w:val="001272AE"/>
    <w:rsid w:val="00127496"/>
    <w:rsid w:val="00127896"/>
    <w:rsid w:val="0013253D"/>
    <w:rsid w:val="00132633"/>
    <w:rsid w:val="00135F53"/>
    <w:rsid w:val="00137CC8"/>
    <w:rsid w:val="00140323"/>
    <w:rsid w:val="00142042"/>
    <w:rsid w:val="00145438"/>
    <w:rsid w:val="001462D3"/>
    <w:rsid w:val="00147F58"/>
    <w:rsid w:val="00152EE0"/>
    <w:rsid w:val="001536A1"/>
    <w:rsid w:val="00153FD8"/>
    <w:rsid w:val="00155152"/>
    <w:rsid w:val="00155390"/>
    <w:rsid w:val="00155C8E"/>
    <w:rsid w:val="00157BB2"/>
    <w:rsid w:val="00160A34"/>
    <w:rsid w:val="00161691"/>
    <w:rsid w:val="00162E3B"/>
    <w:rsid w:val="00163ABC"/>
    <w:rsid w:val="001648EE"/>
    <w:rsid w:val="00164D93"/>
    <w:rsid w:val="0016504A"/>
    <w:rsid w:val="001651CB"/>
    <w:rsid w:val="001653AE"/>
    <w:rsid w:val="0017104E"/>
    <w:rsid w:val="001726CE"/>
    <w:rsid w:val="0017315D"/>
    <w:rsid w:val="00173C17"/>
    <w:rsid w:val="00175108"/>
    <w:rsid w:val="00175BC4"/>
    <w:rsid w:val="0018362B"/>
    <w:rsid w:val="00187865"/>
    <w:rsid w:val="00191A5A"/>
    <w:rsid w:val="001A0668"/>
    <w:rsid w:val="001A49E6"/>
    <w:rsid w:val="001A6688"/>
    <w:rsid w:val="001A7E36"/>
    <w:rsid w:val="001B142F"/>
    <w:rsid w:val="001B270B"/>
    <w:rsid w:val="001B3A3D"/>
    <w:rsid w:val="001B3F9E"/>
    <w:rsid w:val="001B4370"/>
    <w:rsid w:val="001C27B2"/>
    <w:rsid w:val="001C79D1"/>
    <w:rsid w:val="001C7A48"/>
    <w:rsid w:val="001C7CC7"/>
    <w:rsid w:val="001D16A5"/>
    <w:rsid w:val="001D3710"/>
    <w:rsid w:val="001D3794"/>
    <w:rsid w:val="001D3973"/>
    <w:rsid w:val="001D5BA6"/>
    <w:rsid w:val="001D6529"/>
    <w:rsid w:val="001D69BF"/>
    <w:rsid w:val="001E0651"/>
    <w:rsid w:val="001E0ED3"/>
    <w:rsid w:val="001E1011"/>
    <w:rsid w:val="001E15BB"/>
    <w:rsid w:val="001E1FC4"/>
    <w:rsid w:val="001E2C0C"/>
    <w:rsid w:val="001E3308"/>
    <w:rsid w:val="001E3540"/>
    <w:rsid w:val="001E3731"/>
    <w:rsid w:val="001E398E"/>
    <w:rsid w:val="001E3AF1"/>
    <w:rsid w:val="001E43B5"/>
    <w:rsid w:val="001E4C3A"/>
    <w:rsid w:val="001E52A6"/>
    <w:rsid w:val="001E618B"/>
    <w:rsid w:val="001E62E9"/>
    <w:rsid w:val="001E6D85"/>
    <w:rsid w:val="001F0160"/>
    <w:rsid w:val="001F09EB"/>
    <w:rsid w:val="001F3AD2"/>
    <w:rsid w:val="001F4805"/>
    <w:rsid w:val="00201224"/>
    <w:rsid w:val="002013E1"/>
    <w:rsid w:val="00201E2F"/>
    <w:rsid w:val="002020F1"/>
    <w:rsid w:val="00205AA5"/>
    <w:rsid w:val="00207C68"/>
    <w:rsid w:val="00210371"/>
    <w:rsid w:val="0021051A"/>
    <w:rsid w:val="00210FE3"/>
    <w:rsid w:val="00211A85"/>
    <w:rsid w:val="00212345"/>
    <w:rsid w:val="00216AE9"/>
    <w:rsid w:val="00216B90"/>
    <w:rsid w:val="00216BAA"/>
    <w:rsid w:val="00221242"/>
    <w:rsid w:val="00222044"/>
    <w:rsid w:val="00224CD2"/>
    <w:rsid w:val="0022501F"/>
    <w:rsid w:val="0022523E"/>
    <w:rsid w:val="00225C91"/>
    <w:rsid w:val="0022703E"/>
    <w:rsid w:val="00230DD1"/>
    <w:rsid w:val="00231141"/>
    <w:rsid w:val="00232698"/>
    <w:rsid w:val="00232CFC"/>
    <w:rsid w:val="002345FA"/>
    <w:rsid w:val="00235279"/>
    <w:rsid w:val="002360EB"/>
    <w:rsid w:val="00240C60"/>
    <w:rsid w:val="00240E58"/>
    <w:rsid w:val="002423A1"/>
    <w:rsid w:val="00242C65"/>
    <w:rsid w:val="002441E2"/>
    <w:rsid w:val="002449E9"/>
    <w:rsid w:val="00251407"/>
    <w:rsid w:val="00251E0E"/>
    <w:rsid w:val="002527D2"/>
    <w:rsid w:val="00253B88"/>
    <w:rsid w:val="002559FC"/>
    <w:rsid w:val="00257495"/>
    <w:rsid w:val="0026024C"/>
    <w:rsid w:val="00260776"/>
    <w:rsid w:val="002621B3"/>
    <w:rsid w:val="0026386A"/>
    <w:rsid w:val="00264917"/>
    <w:rsid w:val="00266785"/>
    <w:rsid w:val="002705A3"/>
    <w:rsid w:val="002713AD"/>
    <w:rsid w:val="00271A93"/>
    <w:rsid w:val="00276CBE"/>
    <w:rsid w:val="00277C93"/>
    <w:rsid w:val="0028146A"/>
    <w:rsid w:val="0028239F"/>
    <w:rsid w:val="00282742"/>
    <w:rsid w:val="00282B1D"/>
    <w:rsid w:val="0028357B"/>
    <w:rsid w:val="0028384F"/>
    <w:rsid w:val="0028417A"/>
    <w:rsid w:val="00286CA9"/>
    <w:rsid w:val="002874B8"/>
    <w:rsid w:val="00287749"/>
    <w:rsid w:val="00290B55"/>
    <w:rsid w:val="00291F35"/>
    <w:rsid w:val="002920FE"/>
    <w:rsid w:val="00292612"/>
    <w:rsid w:val="0029295E"/>
    <w:rsid w:val="002939C0"/>
    <w:rsid w:val="0029624B"/>
    <w:rsid w:val="00297617"/>
    <w:rsid w:val="002A05C4"/>
    <w:rsid w:val="002A1220"/>
    <w:rsid w:val="002A34BA"/>
    <w:rsid w:val="002A4201"/>
    <w:rsid w:val="002A4A85"/>
    <w:rsid w:val="002A6885"/>
    <w:rsid w:val="002A78D8"/>
    <w:rsid w:val="002B1508"/>
    <w:rsid w:val="002B1D60"/>
    <w:rsid w:val="002B3B3A"/>
    <w:rsid w:val="002C0D78"/>
    <w:rsid w:val="002C46BC"/>
    <w:rsid w:val="002C4C9C"/>
    <w:rsid w:val="002C791F"/>
    <w:rsid w:val="002D0B3D"/>
    <w:rsid w:val="002D1EE5"/>
    <w:rsid w:val="002D3B47"/>
    <w:rsid w:val="002D404B"/>
    <w:rsid w:val="002D532E"/>
    <w:rsid w:val="002E0AB6"/>
    <w:rsid w:val="002E1EBE"/>
    <w:rsid w:val="002E2140"/>
    <w:rsid w:val="002E2729"/>
    <w:rsid w:val="002E39F2"/>
    <w:rsid w:val="002E4CCD"/>
    <w:rsid w:val="002F0188"/>
    <w:rsid w:val="002F15BA"/>
    <w:rsid w:val="002F3166"/>
    <w:rsid w:val="002F3428"/>
    <w:rsid w:val="002F3526"/>
    <w:rsid w:val="002F3947"/>
    <w:rsid w:val="002F668F"/>
    <w:rsid w:val="002F6C28"/>
    <w:rsid w:val="002F763E"/>
    <w:rsid w:val="003008B2"/>
    <w:rsid w:val="00302967"/>
    <w:rsid w:val="00302F30"/>
    <w:rsid w:val="00303674"/>
    <w:rsid w:val="0030568B"/>
    <w:rsid w:val="00306D0C"/>
    <w:rsid w:val="0031017F"/>
    <w:rsid w:val="003110D9"/>
    <w:rsid w:val="00311144"/>
    <w:rsid w:val="00311507"/>
    <w:rsid w:val="00312811"/>
    <w:rsid w:val="003146C7"/>
    <w:rsid w:val="003164BA"/>
    <w:rsid w:val="00317493"/>
    <w:rsid w:val="0032185A"/>
    <w:rsid w:val="00323461"/>
    <w:rsid w:val="00324DC7"/>
    <w:rsid w:val="0032744C"/>
    <w:rsid w:val="003279B3"/>
    <w:rsid w:val="003302FC"/>
    <w:rsid w:val="00330832"/>
    <w:rsid w:val="00330DF6"/>
    <w:rsid w:val="003314E9"/>
    <w:rsid w:val="00331BD6"/>
    <w:rsid w:val="00332108"/>
    <w:rsid w:val="00334932"/>
    <w:rsid w:val="00335C9F"/>
    <w:rsid w:val="003379E8"/>
    <w:rsid w:val="00337E4C"/>
    <w:rsid w:val="0034090C"/>
    <w:rsid w:val="00341C02"/>
    <w:rsid w:val="00341D37"/>
    <w:rsid w:val="00342472"/>
    <w:rsid w:val="00343B5D"/>
    <w:rsid w:val="00343C23"/>
    <w:rsid w:val="003454EB"/>
    <w:rsid w:val="00346BE5"/>
    <w:rsid w:val="00347DA2"/>
    <w:rsid w:val="00347F19"/>
    <w:rsid w:val="0035102E"/>
    <w:rsid w:val="003514E5"/>
    <w:rsid w:val="00353D8A"/>
    <w:rsid w:val="00356E4C"/>
    <w:rsid w:val="00357FDC"/>
    <w:rsid w:val="00360243"/>
    <w:rsid w:val="003617FF"/>
    <w:rsid w:val="00361DFE"/>
    <w:rsid w:val="00362FB4"/>
    <w:rsid w:val="00363C71"/>
    <w:rsid w:val="00364C0F"/>
    <w:rsid w:val="00365AC6"/>
    <w:rsid w:val="003672DE"/>
    <w:rsid w:val="00367627"/>
    <w:rsid w:val="00371215"/>
    <w:rsid w:val="00371E5F"/>
    <w:rsid w:val="00371EDA"/>
    <w:rsid w:val="003803D3"/>
    <w:rsid w:val="00383C1F"/>
    <w:rsid w:val="00387AFD"/>
    <w:rsid w:val="00390440"/>
    <w:rsid w:val="00390CCA"/>
    <w:rsid w:val="00390D5D"/>
    <w:rsid w:val="00391A12"/>
    <w:rsid w:val="00394A74"/>
    <w:rsid w:val="003964F9"/>
    <w:rsid w:val="00396A05"/>
    <w:rsid w:val="00397F4E"/>
    <w:rsid w:val="003A2F14"/>
    <w:rsid w:val="003A3290"/>
    <w:rsid w:val="003A39CB"/>
    <w:rsid w:val="003A6FC6"/>
    <w:rsid w:val="003B1305"/>
    <w:rsid w:val="003B196D"/>
    <w:rsid w:val="003B2146"/>
    <w:rsid w:val="003B28BB"/>
    <w:rsid w:val="003B2CFB"/>
    <w:rsid w:val="003B2E5B"/>
    <w:rsid w:val="003B30CE"/>
    <w:rsid w:val="003B4EA4"/>
    <w:rsid w:val="003B61CD"/>
    <w:rsid w:val="003B6BE0"/>
    <w:rsid w:val="003B71BB"/>
    <w:rsid w:val="003B77AB"/>
    <w:rsid w:val="003C0313"/>
    <w:rsid w:val="003C1626"/>
    <w:rsid w:val="003C2C22"/>
    <w:rsid w:val="003C3417"/>
    <w:rsid w:val="003C53FF"/>
    <w:rsid w:val="003C6E57"/>
    <w:rsid w:val="003C7159"/>
    <w:rsid w:val="003D2064"/>
    <w:rsid w:val="003D26CF"/>
    <w:rsid w:val="003D2DEB"/>
    <w:rsid w:val="003D3396"/>
    <w:rsid w:val="003D399D"/>
    <w:rsid w:val="003D3A69"/>
    <w:rsid w:val="003D41DC"/>
    <w:rsid w:val="003D68E8"/>
    <w:rsid w:val="003D6E70"/>
    <w:rsid w:val="003E0E93"/>
    <w:rsid w:val="003E24B1"/>
    <w:rsid w:val="003E2B72"/>
    <w:rsid w:val="003E2EAD"/>
    <w:rsid w:val="003E369C"/>
    <w:rsid w:val="003E39E1"/>
    <w:rsid w:val="003E3FE9"/>
    <w:rsid w:val="003E4220"/>
    <w:rsid w:val="003E6A0F"/>
    <w:rsid w:val="003F2587"/>
    <w:rsid w:val="003F315F"/>
    <w:rsid w:val="003F4F46"/>
    <w:rsid w:val="003F614E"/>
    <w:rsid w:val="003F6170"/>
    <w:rsid w:val="00400D14"/>
    <w:rsid w:val="00401721"/>
    <w:rsid w:val="00404A16"/>
    <w:rsid w:val="00404E90"/>
    <w:rsid w:val="00410316"/>
    <w:rsid w:val="004108AB"/>
    <w:rsid w:val="00411101"/>
    <w:rsid w:val="00411CDF"/>
    <w:rsid w:val="00412599"/>
    <w:rsid w:val="0041431E"/>
    <w:rsid w:val="004156BA"/>
    <w:rsid w:val="00415A1B"/>
    <w:rsid w:val="00422B0D"/>
    <w:rsid w:val="00423360"/>
    <w:rsid w:val="00423B7E"/>
    <w:rsid w:val="00423E96"/>
    <w:rsid w:val="00425506"/>
    <w:rsid w:val="00425FFF"/>
    <w:rsid w:val="004263A3"/>
    <w:rsid w:val="00426570"/>
    <w:rsid w:val="004265AA"/>
    <w:rsid w:val="00426694"/>
    <w:rsid w:val="0043168C"/>
    <w:rsid w:val="00436363"/>
    <w:rsid w:val="0043736B"/>
    <w:rsid w:val="00437DAC"/>
    <w:rsid w:val="00437F64"/>
    <w:rsid w:val="00441F53"/>
    <w:rsid w:val="00446D75"/>
    <w:rsid w:val="00451B5C"/>
    <w:rsid w:val="00460111"/>
    <w:rsid w:val="004638F8"/>
    <w:rsid w:val="00463C7B"/>
    <w:rsid w:val="00473286"/>
    <w:rsid w:val="004733BF"/>
    <w:rsid w:val="00473691"/>
    <w:rsid w:val="004745F4"/>
    <w:rsid w:val="004758C9"/>
    <w:rsid w:val="00475EDE"/>
    <w:rsid w:val="004775E7"/>
    <w:rsid w:val="00481B87"/>
    <w:rsid w:val="004823CF"/>
    <w:rsid w:val="00486324"/>
    <w:rsid w:val="00491958"/>
    <w:rsid w:val="00492517"/>
    <w:rsid w:val="00493B45"/>
    <w:rsid w:val="00493B99"/>
    <w:rsid w:val="00494302"/>
    <w:rsid w:val="004948C5"/>
    <w:rsid w:val="0049559A"/>
    <w:rsid w:val="004A0721"/>
    <w:rsid w:val="004A0D12"/>
    <w:rsid w:val="004A322E"/>
    <w:rsid w:val="004A33E0"/>
    <w:rsid w:val="004A5FB9"/>
    <w:rsid w:val="004A75E1"/>
    <w:rsid w:val="004A7CDD"/>
    <w:rsid w:val="004B03B4"/>
    <w:rsid w:val="004B0F24"/>
    <w:rsid w:val="004B120D"/>
    <w:rsid w:val="004B3400"/>
    <w:rsid w:val="004B3862"/>
    <w:rsid w:val="004B4221"/>
    <w:rsid w:val="004B54FD"/>
    <w:rsid w:val="004B5BD3"/>
    <w:rsid w:val="004B5E6B"/>
    <w:rsid w:val="004C0F91"/>
    <w:rsid w:val="004C2F2E"/>
    <w:rsid w:val="004C3938"/>
    <w:rsid w:val="004C39D9"/>
    <w:rsid w:val="004C3B5C"/>
    <w:rsid w:val="004C5142"/>
    <w:rsid w:val="004C7C53"/>
    <w:rsid w:val="004D1183"/>
    <w:rsid w:val="004D3977"/>
    <w:rsid w:val="004D4578"/>
    <w:rsid w:val="004D6AC6"/>
    <w:rsid w:val="004D7192"/>
    <w:rsid w:val="004D7891"/>
    <w:rsid w:val="004D7FBA"/>
    <w:rsid w:val="004E30CB"/>
    <w:rsid w:val="004E3561"/>
    <w:rsid w:val="004E3899"/>
    <w:rsid w:val="004E395C"/>
    <w:rsid w:val="004E5400"/>
    <w:rsid w:val="004E56B3"/>
    <w:rsid w:val="004E607D"/>
    <w:rsid w:val="004E61E9"/>
    <w:rsid w:val="004E671D"/>
    <w:rsid w:val="004E6D64"/>
    <w:rsid w:val="004E768B"/>
    <w:rsid w:val="004F197D"/>
    <w:rsid w:val="004F2876"/>
    <w:rsid w:val="004F3DDA"/>
    <w:rsid w:val="004F647F"/>
    <w:rsid w:val="00501E63"/>
    <w:rsid w:val="00503385"/>
    <w:rsid w:val="00504714"/>
    <w:rsid w:val="00505BFD"/>
    <w:rsid w:val="00507A1E"/>
    <w:rsid w:val="00507E73"/>
    <w:rsid w:val="005123F8"/>
    <w:rsid w:val="00512B79"/>
    <w:rsid w:val="00515BAF"/>
    <w:rsid w:val="005165EF"/>
    <w:rsid w:val="005171B0"/>
    <w:rsid w:val="0051780D"/>
    <w:rsid w:val="00520AA1"/>
    <w:rsid w:val="00521DF9"/>
    <w:rsid w:val="00522EAF"/>
    <w:rsid w:val="005236C7"/>
    <w:rsid w:val="00525203"/>
    <w:rsid w:val="0052532E"/>
    <w:rsid w:val="005259CF"/>
    <w:rsid w:val="005334A7"/>
    <w:rsid w:val="00535106"/>
    <w:rsid w:val="0053554A"/>
    <w:rsid w:val="005359CC"/>
    <w:rsid w:val="00536104"/>
    <w:rsid w:val="0053686A"/>
    <w:rsid w:val="00536A37"/>
    <w:rsid w:val="00537824"/>
    <w:rsid w:val="00540CE1"/>
    <w:rsid w:val="0054139B"/>
    <w:rsid w:val="00541824"/>
    <w:rsid w:val="00542C72"/>
    <w:rsid w:val="005451AF"/>
    <w:rsid w:val="005451B0"/>
    <w:rsid w:val="00545409"/>
    <w:rsid w:val="00547775"/>
    <w:rsid w:val="005560BA"/>
    <w:rsid w:val="005560DE"/>
    <w:rsid w:val="00556486"/>
    <w:rsid w:val="005632C1"/>
    <w:rsid w:val="0056480C"/>
    <w:rsid w:val="005702B3"/>
    <w:rsid w:val="00572352"/>
    <w:rsid w:val="00574CA5"/>
    <w:rsid w:val="00575037"/>
    <w:rsid w:val="00576986"/>
    <w:rsid w:val="00582651"/>
    <w:rsid w:val="00583AF2"/>
    <w:rsid w:val="00585A26"/>
    <w:rsid w:val="00587A39"/>
    <w:rsid w:val="00590119"/>
    <w:rsid w:val="0059179E"/>
    <w:rsid w:val="00591B98"/>
    <w:rsid w:val="00591F58"/>
    <w:rsid w:val="00592C18"/>
    <w:rsid w:val="0059301C"/>
    <w:rsid w:val="00593B4D"/>
    <w:rsid w:val="005950B7"/>
    <w:rsid w:val="0059558A"/>
    <w:rsid w:val="005A0217"/>
    <w:rsid w:val="005A0338"/>
    <w:rsid w:val="005A1B19"/>
    <w:rsid w:val="005A416D"/>
    <w:rsid w:val="005A57AF"/>
    <w:rsid w:val="005A6566"/>
    <w:rsid w:val="005A6D5C"/>
    <w:rsid w:val="005A703D"/>
    <w:rsid w:val="005A74F9"/>
    <w:rsid w:val="005B282F"/>
    <w:rsid w:val="005B5916"/>
    <w:rsid w:val="005B6ACA"/>
    <w:rsid w:val="005C0D6D"/>
    <w:rsid w:val="005C1129"/>
    <w:rsid w:val="005C128C"/>
    <w:rsid w:val="005C25BE"/>
    <w:rsid w:val="005C4994"/>
    <w:rsid w:val="005C4EAB"/>
    <w:rsid w:val="005C561D"/>
    <w:rsid w:val="005C5F95"/>
    <w:rsid w:val="005C78DA"/>
    <w:rsid w:val="005D0A0A"/>
    <w:rsid w:val="005D1A47"/>
    <w:rsid w:val="005D3170"/>
    <w:rsid w:val="005D329D"/>
    <w:rsid w:val="005D3C5A"/>
    <w:rsid w:val="005D3D37"/>
    <w:rsid w:val="005D4FB8"/>
    <w:rsid w:val="005D512F"/>
    <w:rsid w:val="005D6581"/>
    <w:rsid w:val="005E0AA2"/>
    <w:rsid w:val="005E0CF2"/>
    <w:rsid w:val="005E1734"/>
    <w:rsid w:val="005E1A70"/>
    <w:rsid w:val="005E761E"/>
    <w:rsid w:val="005E7B6E"/>
    <w:rsid w:val="005F00DE"/>
    <w:rsid w:val="005F037A"/>
    <w:rsid w:val="005F1C24"/>
    <w:rsid w:val="005F1DAE"/>
    <w:rsid w:val="005F2B79"/>
    <w:rsid w:val="005F3C27"/>
    <w:rsid w:val="005F5839"/>
    <w:rsid w:val="005F5E09"/>
    <w:rsid w:val="005F660D"/>
    <w:rsid w:val="005F7408"/>
    <w:rsid w:val="005F7A41"/>
    <w:rsid w:val="005F7EEA"/>
    <w:rsid w:val="00600DDD"/>
    <w:rsid w:val="006032EF"/>
    <w:rsid w:val="00604315"/>
    <w:rsid w:val="0060496D"/>
    <w:rsid w:val="00604A7F"/>
    <w:rsid w:val="00604F0D"/>
    <w:rsid w:val="00606BE0"/>
    <w:rsid w:val="006102A4"/>
    <w:rsid w:val="00610C98"/>
    <w:rsid w:val="00612A72"/>
    <w:rsid w:val="006130BB"/>
    <w:rsid w:val="006148AE"/>
    <w:rsid w:val="006160F2"/>
    <w:rsid w:val="00616A04"/>
    <w:rsid w:val="0061728A"/>
    <w:rsid w:val="0061776C"/>
    <w:rsid w:val="00617DE3"/>
    <w:rsid w:val="00620F96"/>
    <w:rsid w:val="00624DE5"/>
    <w:rsid w:val="0062553F"/>
    <w:rsid w:val="00625F60"/>
    <w:rsid w:val="00626BBA"/>
    <w:rsid w:val="006328ED"/>
    <w:rsid w:val="00632A57"/>
    <w:rsid w:val="0063387C"/>
    <w:rsid w:val="00633E9C"/>
    <w:rsid w:val="00636E38"/>
    <w:rsid w:val="00637677"/>
    <w:rsid w:val="0064028C"/>
    <w:rsid w:val="00641567"/>
    <w:rsid w:val="0064387A"/>
    <w:rsid w:val="006450CB"/>
    <w:rsid w:val="00645A46"/>
    <w:rsid w:val="00645AC1"/>
    <w:rsid w:val="00645D68"/>
    <w:rsid w:val="00646492"/>
    <w:rsid w:val="00647693"/>
    <w:rsid w:val="00651472"/>
    <w:rsid w:val="006518DE"/>
    <w:rsid w:val="0065335E"/>
    <w:rsid w:val="00653E35"/>
    <w:rsid w:val="00656889"/>
    <w:rsid w:val="00656F97"/>
    <w:rsid w:val="0065766A"/>
    <w:rsid w:val="0065792D"/>
    <w:rsid w:val="006600C0"/>
    <w:rsid w:val="00660418"/>
    <w:rsid w:val="00660D79"/>
    <w:rsid w:val="00663765"/>
    <w:rsid w:val="00664285"/>
    <w:rsid w:val="006642E1"/>
    <w:rsid w:val="006647F6"/>
    <w:rsid w:val="00664BBC"/>
    <w:rsid w:val="00666E98"/>
    <w:rsid w:val="00670BD8"/>
    <w:rsid w:val="0067263E"/>
    <w:rsid w:val="00674D7D"/>
    <w:rsid w:val="0067611E"/>
    <w:rsid w:val="00677E38"/>
    <w:rsid w:val="00677E4B"/>
    <w:rsid w:val="0068059C"/>
    <w:rsid w:val="00680D17"/>
    <w:rsid w:val="006837B8"/>
    <w:rsid w:val="00686E32"/>
    <w:rsid w:val="006905AF"/>
    <w:rsid w:val="00690F58"/>
    <w:rsid w:val="006914CE"/>
    <w:rsid w:val="00691C91"/>
    <w:rsid w:val="00691FE1"/>
    <w:rsid w:val="00695E2F"/>
    <w:rsid w:val="00697AB3"/>
    <w:rsid w:val="006A2212"/>
    <w:rsid w:val="006A458E"/>
    <w:rsid w:val="006A4B5E"/>
    <w:rsid w:val="006A55CB"/>
    <w:rsid w:val="006B254E"/>
    <w:rsid w:val="006B6F36"/>
    <w:rsid w:val="006B73C1"/>
    <w:rsid w:val="006C1C7B"/>
    <w:rsid w:val="006C7371"/>
    <w:rsid w:val="006C7B1A"/>
    <w:rsid w:val="006D256F"/>
    <w:rsid w:val="006D3E46"/>
    <w:rsid w:val="006D5860"/>
    <w:rsid w:val="006D779F"/>
    <w:rsid w:val="006E0E4A"/>
    <w:rsid w:val="006E0EF1"/>
    <w:rsid w:val="006E2528"/>
    <w:rsid w:val="006E7D26"/>
    <w:rsid w:val="006F15C4"/>
    <w:rsid w:val="006F4E4F"/>
    <w:rsid w:val="006F61A1"/>
    <w:rsid w:val="006F7867"/>
    <w:rsid w:val="007032C4"/>
    <w:rsid w:val="007043D9"/>
    <w:rsid w:val="00706C3E"/>
    <w:rsid w:val="007071F5"/>
    <w:rsid w:val="00707954"/>
    <w:rsid w:val="00707A0D"/>
    <w:rsid w:val="007124FC"/>
    <w:rsid w:val="007152C1"/>
    <w:rsid w:val="007157F3"/>
    <w:rsid w:val="00715B57"/>
    <w:rsid w:val="00715DB1"/>
    <w:rsid w:val="00715DFB"/>
    <w:rsid w:val="00717E32"/>
    <w:rsid w:val="00717F07"/>
    <w:rsid w:val="0072351B"/>
    <w:rsid w:val="00724B68"/>
    <w:rsid w:val="007263F2"/>
    <w:rsid w:val="007267F5"/>
    <w:rsid w:val="00726892"/>
    <w:rsid w:val="007301CF"/>
    <w:rsid w:val="00730A73"/>
    <w:rsid w:val="00734821"/>
    <w:rsid w:val="007353E1"/>
    <w:rsid w:val="007354B1"/>
    <w:rsid w:val="007356BB"/>
    <w:rsid w:val="0073578C"/>
    <w:rsid w:val="007367E6"/>
    <w:rsid w:val="0074112C"/>
    <w:rsid w:val="00742437"/>
    <w:rsid w:val="00744362"/>
    <w:rsid w:val="007459FA"/>
    <w:rsid w:val="0074770E"/>
    <w:rsid w:val="0075221C"/>
    <w:rsid w:val="00753516"/>
    <w:rsid w:val="00753D67"/>
    <w:rsid w:val="00754F46"/>
    <w:rsid w:val="00756764"/>
    <w:rsid w:val="007628DB"/>
    <w:rsid w:val="00764C38"/>
    <w:rsid w:val="00764D95"/>
    <w:rsid w:val="007654D7"/>
    <w:rsid w:val="0076622C"/>
    <w:rsid w:val="00767F88"/>
    <w:rsid w:val="0077048D"/>
    <w:rsid w:val="007714F9"/>
    <w:rsid w:val="007728A6"/>
    <w:rsid w:val="00773D57"/>
    <w:rsid w:val="0077537C"/>
    <w:rsid w:val="00775C6C"/>
    <w:rsid w:val="007763F6"/>
    <w:rsid w:val="0077750D"/>
    <w:rsid w:val="0078090B"/>
    <w:rsid w:val="00787C97"/>
    <w:rsid w:val="007917BE"/>
    <w:rsid w:val="007957E5"/>
    <w:rsid w:val="00795B9D"/>
    <w:rsid w:val="007979D1"/>
    <w:rsid w:val="007A1D1D"/>
    <w:rsid w:val="007A210D"/>
    <w:rsid w:val="007A3C5F"/>
    <w:rsid w:val="007A3CE9"/>
    <w:rsid w:val="007A45DE"/>
    <w:rsid w:val="007A4B1F"/>
    <w:rsid w:val="007A54FA"/>
    <w:rsid w:val="007A5BAD"/>
    <w:rsid w:val="007A7551"/>
    <w:rsid w:val="007A765E"/>
    <w:rsid w:val="007B2566"/>
    <w:rsid w:val="007B39DD"/>
    <w:rsid w:val="007B6B20"/>
    <w:rsid w:val="007B6DB7"/>
    <w:rsid w:val="007B75FC"/>
    <w:rsid w:val="007B7DFB"/>
    <w:rsid w:val="007B7F51"/>
    <w:rsid w:val="007C0581"/>
    <w:rsid w:val="007C1A8A"/>
    <w:rsid w:val="007C3B47"/>
    <w:rsid w:val="007C4B73"/>
    <w:rsid w:val="007C5899"/>
    <w:rsid w:val="007C6B0F"/>
    <w:rsid w:val="007C7424"/>
    <w:rsid w:val="007D0D35"/>
    <w:rsid w:val="007D14B8"/>
    <w:rsid w:val="007D2069"/>
    <w:rsid w:val="007D596E"/>
    <w:rsid w:val="007D713B"/>
    <w:rsid w:val="007E0408"/>
    <w:rsid w:val="007E171A"/>
    <w:rsid w:val="007E1C98"/>
    <w:rsid w:val="007E3BF3"/>
    <w:rsid w:val="007E429B"/>
    <w:rsid w:val="007E6B2C"/>
    <w:rsid w:val="007E6F05"/>
    <w:rsid w:val="007F03E7"/>
    <w:rsid w:val="007F2260"/>
    <w:rsid w:val="007F2BF4"/>
    <w:rsid w:val="007F6568"/>
    <w:rsid w:val="007F7884"/>
    <w:rsid w:val="00801AC6"/>
    <w:rsid w:val="008022FB"/>
    <w:rsid w:val="00803192"/>
    <w:rsid w:val="00803638"/>
    <w:rsid w:val="00803C72"/>
    <w:rsid w:val="00804637"/>
    <w:rsid w:val="008051C0"/>
    <w:rsid w:val="00805CA9"/>
    <w:rsid w:val="00812ED8"/>
    <w:rsid w:val="0081597B"/>
    <w:rsid w:val="00817E16"/>
    <w:rsid w:val="00820380"/>
    <w:rsid w:val="00821504"/>
    <w:rsid w:val="00822C80"/>
    <w:rsid w:val="00823917"/>
    <w:rsid w:val="00824236"/>
    <w:rsid w:val="00824732"/>
    <w:rsid w:val="00826082"/>
    <w:rsid w:val="0082638F"/>
    <w:rsid w:val="00826F00"/>
    <w:rsid w:val="00832B5F"/>
    <w:rsid w:val="00833F6A"/>
    <w:rsid w:val="0083482A"/>
    <w:rsid w:val="00836B99"/>
    <w:rsid w:val="008400A3"/>
    <w:rsid w:val="00842855"/>
    <w:rsid w:val="008466D1"/>
    <w:rsid w:val="008470CB"/>
    <w:rsid w:val="00851992"/>
    <w:rsid w:val="00854165"/>
    <w:rsid w:val="00854E6F"/>
    <w:rsid w:val="00856513"/>
    <w:rsid w:val="00857213"/>
    <w:rsid w:val="00860921"/>
    <w:rsid w:val="00862556"/>
    <w:rsid w:val="008629F6"/>
    <w:rsid w:val="0086310C"/>
    <w:rsid w:val="00863129"/>
    <w:rsid w:val="008650E8"/>
    <w:rsid w:val="008667D6"/>
    <w:rsid w:val="0086705D"/>
    <w:rsid w:val="00870D2C"/>
    <w:rsid w:val="0087197E"/>
    <w:rsid w:val="00872480"/>
    <w:rsid w:val="008724E0"/>
    <w:rsid w:val="008725ED"/>
    <w:rsid w:val="008741B8"/>
    <w:rsid w:val="00874B7D"/>
    <w:rsid w:val="00880139"/>
    <w:rsid w:val="008809CF"/>
    <w:rsid w:val="00882BB3"/>
    <w:rsid w:val="00882D35"/>
    <w:rsid w:val="008851EA"/>
    <w:rsid w:val="008859D8"/>
    <w:rsid w:val="00885B96"/>
    <w:rsid w:val="0088696A"/>
    <w:rsid w:val="00887F5B"/>
    <w:rsid w:val="00890B22"/>
    <w:rsid w:val="00891FB9"/>
    <w:rsid w:val="00892940"/>
    <w:rsid w:val="00892EB6"/>
    <w:rsid w:val="00895E5A"/>
    <w:rsid w:val="008968E4"/>
    <w:rsid w:val="00896CE9"/>
    <w:rsid w:val="0089790A"/>
    <w:rsid w:val="00897F99"/>
    <w:rsid w:val="008A02AC"/>
    <w:rsid w:val="008A1BD2"/>
    <w:rsid w:val="008A57C9"/>
    <w:rsid w:val="008A6948"/>
    <w:rsid w:val="008A6E38"/>
    <w:rsid w:val="008B05BE"/>
    <w:rsid w:val="008B1CA2"/>
    <w:rsid w:val="008B4952"/>
    <w:rsid w:val="008B5247"/>
    <w:rsid w:val="008B5E14"/>
    <w:rsid w:val="008B6F72"/>
    <w:rsid w:val="008B73DB"/>
    <w:rsid w:val="008C1A2F"/>
    <w:rsid w:val="008C31A5"/>
    <w:rsid w:val="008C31AF"/>
    <w:rsid w:val="008D0F2E"/>
    <w:rsid w:val="008D1B67"/>
    <w:rsid w:val="008D1E92"/>
    <w:rsid w:val="008D30E4"/>
    <w:rsid w:val="008D40ED"/>
    <w:rsid w:val="008D5905"/>
    <w:rsid w:val="008D6277"/>
    <w:rsid w:val="008E0A3A"/>
    <w:rsid w:val="008E0F11"/>
    <w:rsid w:val="008E3B3D"/>
    <w:rsid w:val="008E46D4"/>
    <w:rsid w:val="008E475B"/>
    <w:rsid w:val="008E4F6E"/>
    <w:rsid w:val="008E52F8"/>
    <w:rsid w:val="008E66ED"/>
    <w:rsid w:val="008E78DD"/>
    <w:rsid w:val="008F13DB"/>
    <w:rsid w:val="008F3B13"/>
    <w:rsid w:val="008F7860"/>
    <w:rsid w:val="008F7FFC"/>
    <w:rsid w:val="009001B1"/>
    <w:rsid w:val="00900639"/>
    <w:rsid w:val="00901467"/>
    <w:rsid w:val="00901F34"/>
    <w:rsid w:val="00901F7B"/>
    <w:rsid w:val="0090266F"/>
    <w:rsid w:val="00904B14"/>
    <w:rsid w:val="00906167"/>
    <w:rsid w:val="00907F3C"/>
    <w:rsid w:val="00911236"/>
    <w:rsid w:val="00912812"/>
    <w:rsid w:val="00913424"/>
    <w:rsid w:val="009158BB"/>
    <w:rsid w:val="009165F1"/>
    <w:rsid w:val="009203A4"/>
    <w:rsid w:val="009235AD"/>
    <w:rsid w:val="00926338"/>
    <w:rsid w:val="00926F1C"/>
    <w:rsid w:val="009271C3"/>
    <w:rsid w:val="009276B4"/>
    <w:rsid w:val="00933401"/>
    <w:rsid w:val="009338C4"/>
    <w:rsid w:val="00936B98"/>
    <w:rsid w:val="00937045"/>
    <w:rsid w:val="0093737C"/>
    <w:rsid w:val="009373CF"/>
    <w:rsid w:val="009376E1"/>
    <w:rsid w:val="00940BE7"/>
    <w:rsid w:val="0094282B"/>
    <w:rsid w:val="009432A6"/>
    <w:rsid w:val="00944002"/>
    <w:rsid w:val="00945221"/>
    <w:rsid w:val="009459CF"/>
    <w:rsid w:val="00945CE5"/>
    <w:rsid w:val="0095016A"/>
    <w:rsid w:val="00951293"/>
    <w:rsid w:val="0095492E"/>
    <w:rsid w:val="009556FF"/>
    <w:rsid w:val="00956161"/>
    <w:rsid w:val="009617E7"/>
    <w:rsid w:val="009641D1"/>
    <w:rsid w:val="00965C2C"/>
    <w:rsid w:val="00966B8F"/>
    <w:rsid w:val="00967F04"/>
    <w:rsid w:val="00971191"/>
    <w:rsid w:val="0097128E"/>
    <w:rsid w:val="0097359F"/>
    <w:rsid w:val="0097368E"/>
    <w:rsid w:val="00973FEC"/>
    <w:rsid w:val="009748B7"/>
    <w:rsid w:val="009754D5"/>
    <w:rsid w:val="00975792"/>
    <w:rsid w:val="00975A16"/>
    <w:rsid w:val="00976312"/>
    <w:rsid w:val="00977A49"/>
    <w:rsid w:val="0098131A"/>
    <w:rsid w:val="00983BB8"/>
    <w:rsid w:val="009859BE"/>
    <w:rsid w:val="00986419"/>
    <w:rsid w:val="00987518"/>
    <w:rsid w:val="00987FAD"/>
    <w:rsid w:val="009910B3"/>
    <w:rsid w:val="00991196"/>
    <w:rsid w:val="00991498"/>
    <w:rsid w:val="009919ED"/>
    <w:rsid w:val="00991AA1"/>
    <w:rsid w:val="00991E6D"/>
    <w:rsid w:val="009921A4"/>
    <w:rsid w:val="00992F5B"/>
    <w:rsid w:val="009934A6"/>
    <w:rsid w:val="00994EA5"/>
    <w:rsid w:val="009954CC"/>
    <w:rsid w:val="009968BA"/>
    <w:rsid w:val="009A0264"/>
    <w:rsid w:val="009A06A1"/>
    <w:rsid w:val="009A12CD"/>
    <w:rsid w:val="009A1837"/>
    <w:rsid w:val="009A3F28"/>
    <w:rsid w:val="009A486C"/>
    <w:rsid w:val="009A4901"/>
    <w:rsid w:val="009A51E5"/>
    <w:rsid w:val="009A52AD"/>
    <w:rsid w:val="009A57A3"/>
    <w:rsid w:val="009A582C"/>
    <w:rsid w:val="009A6B96"/>
    <w:rsid w:val="009A7393"/>
    <w:rsid w:val="009B13A5"/>
    <w:rsid w:val="009B37F3"/>
    <w:rsid w:val="009B70F3"/>
    <w:rsid w:val="009C15BC"/>
    <w:rsid w:val="009C20D0"/>
    <w:rsid w:val="009C2658"/>
    <w:rsid w:val="009C455E"/>
    <w:rsid w:val="009C481A"/>
    <w:rsid w:val="009C5221"/>
    <w:rsid w:val="009C752C"/>
    <w:rsid w:val="009C7C2D"/>
    <w:rsid w:val="009D0728"/>
    <w:rsid w:val="009D17F3"/>
    <w:rsid w:val="009D1CC9"/>
    <w:rsid w:val="009D1EAE"/>
    <w:rsid w:val="009D3632"/>
    <w:rsid w:val="009D4A78"/>
    <w:rsid w:val="009E2770"/>
    <w:rsid w:val="009E29B5"/>
    <w:rsid w:val="009E3D5A"/>
    <w:rsid w:val="009E42A2"/>
    <w:rsid w:val="009E5ED5"/>
    <w:rsid w:val="009F2DC1"/>
    <w:rsid w:val="009F2EEC"/>
    <w:rsid w:val="009F2EF7"/>
    <w:rsid w:val="009F3841"/>
    <w:rsid w:val="009F3EBE"/>
    <w:rsid w:val="009F7229"/>
    <w:rsid w:val="009F76EA"/>
    <w:rsid w:val="00A0203C"/>
    <w:rsid w:val="00A030D6"/>
    <w:rsid w:val="00A03C38"/>
    <w:rsid w:val="00A04663"/>
    <w:rsid w:val="00A0503B"/>
    <w:rsid w:val="00A0552A"/>
    <w:rsid w:val="00A05E07"/>
    <w:rsid w:val="00A07A24"/>
    <w:rsid w:val="00A111D0"/>
    <w:rsid w:val="00A12EF8"/>
    <w:rsid w:val="00A1315F"/>
    <w:rsid w:val="00A20A5A"/>
    <w:rsid w:val="00A2357A"/>
    <w:rsid w:val="00A236EC"/>
    <w:rsid w:val="00A24470"/>
    <w:rsid w:val="00A24E9D"/>
    <w:rsid w:val="00A26464"/>
    <w:rsid w:val="00A265B5"/>
    <w:rsid w:val="00A26602"/>
    <w:rsid w:val="00A26A64"/>
    <w:rsid w:val="00A272C2"/>
    <w:rsid w:val="00A27E18"/>
    <w:rsid w:val="00A3012A"/>
    <w:rsid w:val="00A3083F"/>
    <w:rsid w:val="00A308AB"/>
    <w:rsid w:val="00A31232"/>
    <w:rsid w:val="00A3202F"/>
    <w:rsid w:val="00A32B66"/>
    <w:rsid w:val="00A34E28"/>
    <w:rsid w:val="00A36F0E"/>
    <w:rsid w:val="00A37E24"/>
    <w:rsid w:val="00A40D8F"/>
    <w:rsid w:val="00A40E8F"/>
    <w:rsid w:val="00A4149B"/>
    <w:rsid w:val="00A47B17"/>
    <w:rsid w:val="00A47C25"/>
    <w:rsid w:val="00A47E00"/>
    <w:rsid w:val="00A50689"/>
    <w:rsid w:val="00A51248"/>
    <w:rsid w:val="00A5176D"/>
    <w:rsid w:val="00A529B9"/>
    <w:rsid w:val="00A5495C"/>
    <w:rsid w:val="00A55866"/>
    <w:rsid w:val="00A55F01"/>
    <w:rsid w:val="00A620D3"/>
    <w:rsid w:val="00A62756"/>
    <w:rsid w:val="00A637CE"/>
    <w:rsid w:val="00A657F6"/>
    <w:rsid w:val="00A711F3"/>
    <w:rsid w:val="00A71D92"/>
    <w:rsid w:val="00A740B2"/>
    <w:rsid w:val="00A75F96"/>
    <w:rsid w:val="00A7619B"/>
    <w:rsid w:val="00A7770F"/>
    <w:rsid w:val="00A813D9"/>
    <w:rsid w:val="00A82D14"/>
    <w:rsid w:val="00A83637"/>
    <w:rsid w:val="00A83B9E"/>
    <w:rsid w:val="00A844B4"/>
    <w:rsid w:val="00A8595A"/>
    <w:rsid w:val="00A86001"/>
    <w:rsid w:val="00A872C9"/>
    <w:rsid w:val="00A9187E"/>
    <w:rsid w:val="00A91EB2"/>
    <w:rsid w:val="00A92883"/>
    <w:rsid w:val="00A92E59"/>
    <w:rsid w:val="00A951FA"/>
    <w:rsid w:val="00A9619B"/>
    <w:rsid w:val="00A96782"/>
    <w:rsid w:val="00AA3591"/>
    <w:rsid w:val="00AA4DF4"/>
    <w:rsid w:val="00AA6C5E"/>
    <w:rsid w:val="00AA7237"/>
    <w:rsid w:val="00AA7463"/>
    <w:rsid w:val="00AA7BA0"/>
    <w:rsid w:val="00AB02CE"/>
    <w:rsid w:val="00AB1EBF"/>
    <w:rsid w:val="00AB3199"/>
    <w:rsid w:val="00AB3EDB"/>
    <w:rsid w:val="00AB4798"/>
    <w:rsid w:val="00AB4E97"/>
    <w:rsid w:val="00AB5032"/>
    <w:rsid w:val="00AB7EBF"/>
    <w:rsid w:val="00AC029C"/>
    <w:rsid w:val="00AC10DE"/>
    <w:rsid w:val="00AC3034"/>
    <w:rsid w:val="00AC3C8D"/>
    <w:rsid w:val="00AC4394"/>
    <w:rsid w:val="00AC5DA9"/>
    <w:rsid w:val="00AC5DC4"/>
    <w:rsid w:val="00AC732B"/>
    <w:rsid w:val="00AD07A3"/>
    <w:rsid w:val="00AD1ADC"/>
    <w:rsid w:val="00AD1AE8"/>
    <w:rsid w:val="00AD2C50"/>
    <w:rsid w:val="00AE0ECC"/>
    <w:rsid w:val="00AE1831"/>
    <w:rsid w:val="00AE230F"/>
    <w:rsid w:val="00AE63E7"/>
    <w:rsid w:val="00AE72C4"/>
    <w:rsid w:val="00AE74DC"/>
    <w:rsid w:val="00AF2EBD"/>
    <w:rsid w:val="00AF5A52"/>
    <w:rsid w:val="00AF5F3F"/>
    <w:rsid w:val="00AF67FA"/>
    <w:rsid w:val="00AF6A8B"/>
    <w:rsid w:val="00AF742F"/>
    <w:rsid w:val="00AF7827"/>
    <w:rsid w:val="00AF7A27"/>
    <w:rsid w:val="00B00788"/>
    <w:rsid w:val="00B01108"/>
    <w:rsid w:val="00B0111B"/>
    <w:rsid w:val="00B01652"/>
    <w:rsid w:val="00B04D12"/>
    <w:rsid w:val="00B050A9"/>
    <w:rsid w:val="00B05465"/>
    <w:rsid w:val="00B10637"/>
    <w:rsid w:val="00B12DF3"/>
    <w:rsid w:val="00B1505C"/>
    <w:rsid w:val="00B21541"/>
    <w:rsid w:val="00B21EAF"/>
    <w:rsid w:val="00B250D1"/>
    <w:rsid w:val="00B268FF"/>
    <w:rsid w:val="00B32B5F"/>
    <w:rsid w:val="00B32C8E"/>
    <w:rsid w:val="00B3309B"/>
    <w:rsid w:val="00B3377D"/>
    <w:rsid w:val="00B37DAA"/>
    <w:rsid w:val="00B37FC0"/>
    <w:rsid w:val="00B4265A"/>
    <w:rsid w:val="00B4338B"/>
    <w:rsid w:val="00B43A0D"/>
    <w:rsid w:val="00B43B90"/>
    <w:rsid w:val="00B44F47"/>
    <w:rsid w:val="00B46D58"/>
    <w:rsid w:val="00B5205F"/>
    <w:rsid w:val="00B53918"/>
    <w:rsid w:val="00B554EC"/>
    <w:rsid w:val="00B571C3"/>
    <w:rsid w:val="00B578A7"/>
    <w:rsid w:val="00B63B93"/>
    <w:rsid w:val="00B64274"/>
    <w:rsid w:val="00B652E6"/>
    <w:rsid w:val="00B66378"/>
    <w:rsid w:val="00B664EF"/>
    <w:rsid w:val="00B6739F"/>
    <w:rsid w:val="00B7028C"/>
    <w:rsid w:val="00B71BCE"/>
    <w:rsid w:val="00B73958"/>
    <w:rsid w:val="00B7409F"/>
    <w:rsid w:val="00B7449F"/>
    <w:rsid w:val="00B83DFD"/>
    <w:rsid w:val="00B84A61"/>
    <w:rsid w:val="00B84D55"/>
    <w:rsid w:val="00B85404"/>
    <w:rsid w:val="00B858E8"/>
    <w:rsid w:val="00B8634F"/>
    <w:rsid w:val="00B863B9"/>
    <w:rsid w:val="00B87A1B"/>
    <w:rsid w:val="00B87E3F"/>
    <w:rsid w:val="00B90069"/>
    <w:rsid w:val="00B90652"/>
    <w:rsid w:val="00B91749"/>
    <w:rsid w:val="00B94587"/>
    <w:rsid w:val="00B95F2B"/>
    <w:rsid w:val="00BA02E2"/>
    <w:rsid w:val="00BA2145"/>
    <w:rsid w:val="00BA3C98"/>
    <w:rsid w:val="00BA43FF"/>
    <w:rsid w:val="00BA49EC"/>
    <w:rsid w:val="00BA4A3E"/>
    <w:rsid w:val="00BA517D"/>
    <w:rsid w:val="00BA5213"/>
    <w:rsid w:val="00BB12EC"/>
    <w:rsid w:val="00BB380A"/>
    <w:rsid w:val="00BB6073"/>
    <w:rsid w:val="00BC042C"/>
    <w:rsid w:val="00BC0617"/>
    <w:rsid w:val="00BC0BA6"/>
    <w:rsid w:val="00BC0FD3"/>
    <w:rsid w:val="00BC1CE2"/>
    <w:rsid w:val="00BC2FE0"/>
    <w:rsid w:val="00BC336D"/>
    <w:rsid w:val="00BC3C38"/>
    <w:rsid w:val="00BC4E64"/>
    <w:rsid w:val="00BC4F5A"/>
    <w:rsid w:val="00BC6843"/>
    <w:rsid w:val="00BC688F"/>
    <w:rsid w:val="00BC68DA"/>
    <w:rsid w:val="00BC6E09"/>
    <w:rsid w:val="00BD0C34"/>
    <w:rsid w:val="00BD168E"/>
    <w:rsid w:val="00BD1699"/>
    <w:rsid w:val="00BD17A0"/>
    <w:rsid w:val="00BD17ED"/>
    <w:rsid w:val="00BD30D7"/>
    <w:rsid w:val="00BD38EE"/>
    <w:rsid w:val="00BD3DAB"/>
    <w:rsid w:val="00BD3DAE"/>
    <w:rsid w:val="00BD3EC8"/>
    <w:rsid w:val="00BD5128"/>
    <w:rsid w:val="00BD73FD"/>
    <w:rsid w:val="00BE17BA"/>
    <w:rsid w:val="00BE2823"/>
    <w:rsid w:val="00BE47A9"/>
    <w:rsid w:val="00BE4A5A"/>
    <w:rsid w:val="00BE6405"/>
    <w:rsid w:val="00BE648F"/>
    <w:rsid w:val="00BF03F5"/>
    <w:rsid w:val="00BF39E2"/>
    <w:rsid w:val="00BF44B9"/>
    <w:rsid w:val="00BF6000"/>
    <w:rsid w:val="00C00D5C"/>
    <w:rsid w:val="00C01F95"/>
    <w:rsid w:val="00C0327E"/>
    <w:rsid w:val="00C03B5D"/>
    <w:rsid w:val="00C05277"/>
    <w:rsid w:val="00C1170C"/>
    <w:rsid w:val="00C131B9"/>
    <w:rsid w:val="00C13218"/>
    <w:rsid w:val="00C1488A"/>
    <w:rsid w:val="00C1488E"/>
    <w:rsid w:val="00C163C8"/>
    <w:rsid w:val="00C1716E"/>
    <w:rsid w:val="00C17534"/>
    <w:rsid w:val="00C20235"/>
    <w:rsid w:val="00C206B9"/>
    <w:rsid w:val="00C20C5A"/>
    <w:rsid w:val="00C2251D"/>
    <w:rsid w:val="00C233DD"/>
    <w:rsid w:val="00C24C5E"/>
    <w:rsid w:val="00C2675D"/>
    <w:rsid w:val="00C268A6"/>
    <w:rsid w:val="00C26CFA"/>
    <w:rsid w:val="00C27656"/>
    <w:rsid w:val="00C3036C"/>
    <w:rsid w:val="00C32FF6"/>
    <w:rsid w:val="00C33B6A"/>
    <w:rsid w:val="00C33F9B"/>
    <w:rsid w:val="00C35DDD"/>
    <w:rsid w:val="00C3761B"/>
    <w:rsid w:val="00C40C90"/>
    <w:rsid w:val="00C455F7"/>
    <w:rsid w:val="00C46609"/>
    <w:rsid w:val="00C47B02"/>
    <w:rsid w:val="00C47E47"/>
    <w:rsid w:val="00C501EA"/>
    <w:rsid w:val="00C50409"/>
    <w:rsid w:val="00C50DF3"/>
    <w:rsid w:val="00C516B9"/>
    <w:rsid w:val="00C51E0A"/>
    <w:rsid w:val="00C5277A"/>
    <w:rsid w:val="00C53518"/>
    <w:rsid w:val="00C53828"/>
    <w:rsid w:val="00C544AE"/>
    <w:rsid w:val="00C54571"/>
    <w:rsid w:val="00C54D45"/>
    <w:rsid w:val="00C56720"/>
    <w:rsid w:val="00C6279D"/>
    <w:rsid w:val="00C661A9"/>
    <w:rsid w:val="00C67521"/>
    <w:rsid w:val="00C7047A"/>
    <w:rsid w:val="00C720A6"/>
    <w:rsid w:val="00C727A5"/>
    <w:rsid w:val="00C729A3"/>
    <w:rsid w:val="00C73AE5"/>
    <w:rsid w:val="00C75D87"/>
    <w:rsid w:val="00C76D8A"/>
    <w:rsid w:val="00C821B7"/>
    <w:rsid w:val="00C82F5A"/>
    <w:rsid w:val="00C85409"/>
    <w:rsid w:val="00C86AD8"/>
    <w:rsid w:val="00C86EDB"/>
    <w:rsid w:val="00C872BE"/>
    <w:rsid w:val="00C872DE"/>
    <w:rsid w:val="00C90DD0"/>
    <w:rsid w:val="00C938CB"/>
    <w:rsid w:val="00C93A9E"/>
    <w:rsid w:val="00C95B81"/>
    <w:rsid w:val="00C967DE"/>
    <w:rsid w:val="00C973C7"/>
    <w:rsid w:val="00C97797"/>
    <w:rsid w:val="00CA10AF"/>
    <w:rsid w:val="00CA1C78"/>
    <w:rsid w:val="00CA2117"/>
    <w:rsid w:val="00CA24A5"/>
    <w:rsid w:val="00CA2D4F"/>
    <w:rsid w:val="00CA4722"/>
    <w:rsid w:val="00CA4D9E"/>
    <w:rsid w:val="00CA5420"/>
    <w:rsid w:val="00CA5D35"/>
    <w:rsid w:val="00CA6D6B"/>
    <w:rsid w:val="00CA6ECF"/>
    <w:rsid w:val="00CA76F2"/>
    <w:rsid w:val="00CB01E0"/>
    <w:rsid w:val="00CB15B3"/>
    <w:rsid w:val="00CB2189"/>
    <w:rsid w:val="00CB2F04"/>
    <w:rsid w:val="00CB37A3"/>
    <w:rsid w:val="00CB5701"/>
    <w:rsid w:val="00CB7549"/>
    <w:rsid w:val="00CB75CA"/>
    <w:rsid w:val="00CC067D"/>
    <w:rsid w:val="00CC0DEA"/>
    <w:rsid w:val="00CC1B22"/>
    <w:rsid w:val="00CC3599"/>
    <w:rsid w:val="00CC64F9"/>
    <w:rsid w:val="00CD06BF"/>
    <w:rsid w:val="00CD190E"/>
    <w:rsid w:val="00CD1B47"/>
    <w:rsid w:val="00CD506B"/>
    <w:rsid w:val="00CE0243"/>
    <w:rsid w:val="00CE03E8"/>
    <w:rsid w:val="00CE32AB"/>
    <w:rsid w:val="00CE3328"/>
    <w:rsid w:val="00CE3F91"/>
    <w:rsid w:val="00CE4863"/>
    <w:rsid w:val="00CE53AA"/>
    <w:rsid w:val="00CE6073"/>
    <w:rsid w:val="00CF0D14"/>
    <w:rsid w:val="00CF20E6"/>
    <w:rsid w:val="00CF2D05"/>
    <w:rsid w:val="00CF2F55"/>
    <w:rsid w:val="00CF3FC0"/>
    <w:rsid w:val="00CF46C6"/>
    <w:rsid w:val="00CF749B"/>
    <w:rsid w:val="00D013BC"/>
    <w:rsid w:val="00D013D7"/>
    <w:rsid w:val="00D026AF"/>
    <w:rsid w:val="00D06B86"/>
    <w:rsid w:val="00D11B21"/>
    <w:rsid w:val="00D1524C"/>
    <w:rsid w:val="00D177DF"/>
    <w:rsid w:val="00D216D5"/>
    <w:rsid w:val="00D220D1"/>
    <w:rsid w:val="00D224AC"/>
    <w:rsid w:val="00D232AA"/>
    <w:rsid w:val="00D240AB"/>
    <w:rsid w:val="00D24916"/>
    <w:rsid w:val="00D24DC2"/>
    <w:rsid w:val="00D2558F"/>
    <w:rsid w:val="00D261A6"/>
    <w:rsid w:val="00D26553"/>
    <w:rsid w:val="00D2688D"/>
    <w:rsid w:val="00D27FEA"/>
    <w:rsid w:val="00D30A64"/>
    <w:rsid w:val="00D31EB4"/>
    <w:rsid w:val="00D322A4"/>
    <w:rsid w:val="00D329B4"/>
    <w:rsid w:val="00D34DBC"/>
    <w:rsid w:val="00D403C8"/>
    <w:rsid w:val="00D408DC"/>
    <w:rsid w:val="00D40916"/>
    <w:rsid w:val="00D41458"/>
    <w:rsid w:val="00D41F0F"/>
    <w:rsid w:val="00D424D5"/>
    <w:rsid w:val="00D431C1"/>
    <w:rsid w:val="00D436E2"/>
    <w:rsid w:val="00D442A1"/>
    <w:rsid w:val="00D44CA4"/>
    <w:rsid w:val="00D46872"/>
    <w:rsid w:val="00D470F4"/>
    <w:rsid w:val="00D478EA"/>
    <w:rsid w:val="00D50A6E"/>
    <w:rsid w:val="00D5100C"/>
    <w:rsid w:val="00D52ABF"/>
    <w:rsid w:val="00D53757"/>
    <w:rsid w:val="00D5404F"/>
    <w:rsid w:val="00D543B0"/>
    <w:rsid w:val="00D56DF2"/>
    <w:rsid w:val="00D574D9"/>
    <w:rsid w:val="00D5789B"/>
    <w:rsid w:val="00D57B8C"/>
    <w:rsid w:val="00D6185E"/>
    <w:rsid w:val="00D61CD0"/>
    <w:rsid w:val="00D622CD"/>
    <w:rsid w:val="00D64F6D"/>
    <w:rsid w:val="00D67EF4"/>
    <w:rsid w:val="00D70D0D"/>
    <w:rsid w:val="00D71072"/>
    <w:rsid w:val="00D7362F"/>
    <w:rsid w:val="00D73B7B"/>
    <w:rsid w:val="00D7464E"/>
    <w:rsid w:val="00D74E2E"/>
    <w:rsid w:val="00D75F5B"/>
    <w:rsid w:val="00D763CA"/>
    <w:rsid w:val="00D76FFC"/>
    <w:rsid w:val="00D77987"/>
    <w:rsid w:val="00D80257"/>
    <w:rsid w:val="00D80CEC"/>
    <w:rsid w:val="00D85000"/>
    <w:rsid w:val="00D856BD"/>
    <w:rsid w:val="00D907C8"/>
    <w:rsid w:val="00D90D0C"/>
    <w:rsid w:val="00D90D7E"/>
    <w:rsid w:val="00D91082"/>
    <w:rsid w:val="00D9191F"/>
    <w:rsid w:val="00D92654"/>
    <w:rsid w:val="00D92A7B"/>
    <w:rsid w:val="00D93798"/>
    <w:rsid w:val="00D94268"/>
    <w:rsid w:val="00D947C0"/>
    <w:rsid w:val="00D96261"/>
    <w:rsid w:val="00D9631C"/>
    <w:rsid w:val="00DA0281"/>
    <w:rsid w:val="00DA0499"/>
    <w:rsid w:val="00DA154F"/>
    <w:rsid w:val="00DA5958"/>
    <w:rsid w:val="00DA6C4E"/>
    <w:rsid w:val="00DA73B7"/>
    <w:rsid w:val="00DB037F"/>
    <w:rsid w:val="00DB0B26"/>
    <w:rsid w:val="00DB0CDD"/>
    <w:rsid w:val="00DB0CF5"/>
    <w:rsid w:val="00DB1AED"/>
    <w:rsid w:val="00DB4328"/>
    <w:rsid w:val="00DB6243"/>
    <w:rsid w:val="00DB6F6E"/>
    <w:rsid w:val="00DB7B44"/>
    <w:rsid w:val="00DB7FA2"/>
    <w:rsid w:val="00DC0395"/>
    <w:rsid w:val="00DC2689"/>
    <w:rsid w:val="00DC3C95"/>
    <w:rsid w:val="00DC3D0B"/>
    <w:rsid w:val="00DC4A5E"/>
    <w:rsid w:val="00DC7011"/>
    <w:rsid w:val="00DD10F3"/>
    <w:rsid w:val="00DD2278"/>
    <w:rsid w:val="00DD29B0"/>
    <w:rsid w:val="00DD4CC5"/>
    <w:rsid w:val="00DD4D6D"/>
    <w:rsid w:val="00DD4F5C"/>
    <w:rsid w:val="00DD4FB2"/>
    <w:rsid w:val="00DD60ED"/>
    <w:rsid w:val="00DD79C1"/>
    <w:rsid w:val="00DE1887"/>
    <w:rsid w:val="00DE18CE"/>
    <w:rsid w:val="00DE2D6C"/>
    <w:rsid w:val="00DE2E94"/>
    <w:rsid w:val="00DE4023"/>
    <w:rsid w:val="00DE4459"/>
    <w:rsid w:val="00DE46DB"/>
    <w:rsid w:val="00DE4A92"/>
    <w:rsid w:val="00DE5491"/>
    <w:rsid w:val="00DE7197"/>
    <w:rsid w:val="00DE75FC"/>
    <w:rsid w:val="00DE7641"/>
    <w:rsid w:val="00DF0DB8"/>
    <w:rsid w:val="00DF100D"/>
    <w:rsid w:val="00DF17CF"/>
    <w:rsid w:val="00DF3891"/>
    <w:rsid w:val="00E00047"/>
    <w:rsid w:val="00E00264"/>
    <w:rsid w:val="00E03167"/>
    <w:rsid w:val="00E04AAF"/>
    <w:rsid w:val="00E050ED"/>
    <w:rsid w:val="00E0701B"/>
    <w:rsid w:val="00E1163A"/>
    <w:rsid w:val="00E11E3C"/>
    <w:rsid w:val="00E17A8D"/>
    <w:rsid w:val="00E20A41"/>
    <w:rsid w:val="00E26971"/>
    <w:rsid w:val="00E26AB5"/>
    <w:rsid w:val="00E30C75"/>
    <w:rsid w:val="00E318F2"/>
    <w:rsid w:val="00E344AC"/>
    <w:rsid w:val="00E3583C"/>
    <w:rsid w:val="00E37C7E"/>
    <w:rsid w:val="00E408CB"/>
    <w:rsid w:val="00E411F5"/>
    <w:rsid w:val="00E41CEA"/>
    <w:rsid w:val="00E42C82"/>
    <w:rsid w:val="00E45D46"/>
    <w:rsid w:val="00E47E06"/>
    <w:rsid w:val="00E5017C"/>
    <w:rsid w:val="00E50908"/>
    <w:rsid w:val="00E50BD0"/>
    <w:rsid w:val="00E52355"/>
    <w:rsid w:val="00E52AF8"/>
    <w:rsid w:val="00E60839"/>
    <w:rsid w:val="00E61135"/>
    <w:rsid w:val="00E61FEC"/>
    <w:rsid w:val="00E67D93"/>
    <w:rsid w:val="00E67FF2"/>
    <w:rsid w:val="00E71216"/>
    <w:rsid w:val="00E712D9"/>
    <w:rsid w:val="00E714C2"/>
    <w:rsid w:val="00E72125"/>
    <w:rsid w:val="00E74FBC"/>
    <w:rsid w:val="00E75E29"/>
    <w:rsid w:val="00E76CB5"/>
    <w:rsid w:val="00E818CA"/>
    <w:rsid w:val="00E81D3D"/>
    <w:rsid w:val="00E8689A"/>
    <w:rsid w:val="00E91857"/>
    <w:rsid w:val="00E92985"/>
    <w:rsid w:val="00E936A4"/>
    <w:rsid w:val="00E93D3F"/>
    <w:rsid w:val="00E973E8"/>
    <w:rsid w:val="00EA5275"/>
    <w:rsid w:val="00EA6C20"/>
    <w:rsid w:val="00EA6CDF"/>
    <w:rsid w:val="00EA7BD2"/>
    <w:rsid w:val="00EB1E0B"/>
    <w:rsid w:val="00EB2C51"/>
    <w:rsid w:val="00EB3165"/>
    <w:rsid w:val="00EB3DE7"/>
    <w:rsid w:val="00EB4E33"/>
    <w:rsid w:val="00EB5726"/>
    <w:rsid w:val="00EB5933"/>
    <w:rsid w:val="00EB64F5"/>
    <w:rsid w:val="00EB6D04"/>
    <w:rsid w:val="00EB7736"/>
    <w:rsid w:val="00EC00E0"/>
    <w:rsid w:val="00EC0421"/>
    <w:rsid w:val="00EC3FA1"/>
    <w:rsid w:val="00EC70D9"/>
    <w:rsid w:val="00ED094C"/>
    <w:rsid w:val="00ED2EDB"/>
    <w:rsid w:val="00ED36F3"/>
    <w:rsid w:val="00EE00EF"/>
    <w:rsid w:val="00EE6BB1"/>
    <w:rsid w:val="00EE7B09"/>
    <w:rsid w:val="00EE7F3B"/>
    <w:rsid w:val="00EF001A"/>
    <w:rsid w:val="00EF314B"/>
    <w:rsid w:val="00EF4BD2"/>
    <w:rsid w:val="00F003C4"/>
    <w:rsid w:val="00F028D6"/>
    <w:rsid w:val="00F03D64"/>
    <w:rsid w:val="00F04185"/>
    <w:rsid w:val="00F05F3B"/>
    <w:rsid w:val="00F06281"/>
    <w:rsid w:val="00F062F6"/>
    <w:rsid w:val="00F07063"/>
    <w:rsid w:val="00F12FD3"/>
    <w:rsid w:val="00F14A9B"/>
    <w:rsid w:val="00F1735F"/>
    <w:rsid w:val="00F215F3"/>
    <w:rsid w:val="00F24DEE"/>
    <w:rsid w:val="00F3019D"/>
    <w:rsid w:val="00F326BE"/>
    <w:rsid w:val="00F33781"/>
    <w:rsid w:val="00F33D39"/>
    <w:rsid w:val="00F33E8C"/>
    <w:rsid w:val="00F340C5"/>
    <w:rsid w:val="00F34E39"/>
    <w:rsid w:val="00F35D9B"/>
    <w:rsid w:val="00F35FAB"/>
    <w:rsid w:val="00F366B2"/>
    <w:rsid w:val="00F36B5D"/>
    <w:rsid w:val="00F378AB"/>
    <w:rsid w:val="00F440AA"/>
    <w:rsid w:val="00F44127"/>
    <w:rsid w:val="00F44204"/>
    <w:rsid w:val="00F44426"/>
    <w:rsid w:val="00F46EEE"/>
    <w:rsid w:val="00F47DE2"/>
    <w:rsid w:val="00F47E40"/>
    <w:rsid w:val="00F55259"/>
    <w:rsid w:val="00F55C4A"/>
    <w:rsid w:val="00F568C1"/>
    <w:rsid w:val="00F6032D"/>
    <w:rsid w:val="00F6264F"/>
    <w:rsid w:val="00F62A69"/>
    <w:rsid w:val="00F65ADD"/>
    <w:rsid w:val="00F70B7C"/>
    <w:rsid w:val="00F72CBC"/>
    <w:rsid w:val="00F733ED"/>
    <w:rsid w:val="00F73F07"/>
    <w:rsid w:val="00F754EF"/>
    <w:rsid w:val="00F75C15"/>
    <w:rsid w:val="00F76937"/>
    <w:rsid w:val="00F8282E"/>
    <w:rsid w:val="00F83560"/>
    <w:rsid w:val="00F83C02"/>
    <w:rsid w:val="00F850C4"/>
    <w:rsid w:val="00F87701"/>
    <w:rsid w:val="00F921F2"/>
    <w:rsid w:val="00F928FA"/>
    <w:rsid w:val="00F93854"/>
    <w:rsid w:val="00F942F6"/>
    <w:rsid w:val="00F954AB"/>
    <w:rsid w:val="00F96FDF"/>
    <w:rsid w:val="00F974CC"/>
    <w:rsid w:val="00F978D0"/>
    <w:rsid w:val="00F9791B"/>
    <w:rsid w:val="00F97EEB"/>
    <w:rsid w:val="00FA387A"/>
    <w:rsid w:val="00FA45E8"/>
    <w:rsid w:val="00FA49FD"/>
    <w:rsid w:val="00FA7630"/>
    <w:rsid w:val="00FB014A"/>
    <w:rsid w:val="00FB050E"/>
    <w:rsid w:val="00FB1B55"/>
    <w:rsid w:val="00FB23F3"/>
    <w:rsid w:val="00FB3A9D"/>
    <w:rsid w:val="00FB7F24"/>
    <w:rsid w:val="00FC1532"/>
    <w:rsid w:val="00FC31E9"/>
    <w:rsid w:val="00FC428E"/>
    <w:rsid w:val="00FC57D1"/>
    <w:rsid w:val="00FC6719"/>
    <w:rsid w:val="00FC72BE"/>
    <w:rsid w:val="00FC7EB4"/>
    <w:rsid w:val="00FD1592"/>
    <w:rsid w:val="00FD56FD"/>
    <w:rsid w:val="00FD6E38"/>
    <w:rsid w:val="00FD780D"/>
    <w:rsid w:val="00FD7991"/>
    <w:rsid w:val="00FE04B8"/>
    <w:rsid w:val="00FE2A02"/>
    <w:rsid w:val="00FE3AB2"/>
    <w:rsid w:val="00FE6179"/>
    <w:rsid w:val="00FF0131"/>
    <w:rsid w:val="00FF0157"/>
    <w:rsid w:val="00FF2682"/>
    <w:rsid w:val="00FF687B"/>
    <w:rsid w:val="00FF71A3"/>
    <w:rsid w:val="01174217"/>
    <w:rsid w:val="011930F2"/>
    <w:rsid w:val="0134028F"/>
    <w:rsid w:val="013EF104"/>
    <w:rsid w:val="017415BE"/>
    <w:rsid w:val="01A73F65"/>
    <w:rsid w:val="01D40739"/>
    <w:rsid w:val="024E8234"/>
    <w:rsid w:val="02A43A94"/>
    <w:rsid w:val="030F63C8"/>
    <w:rsid w:val="0340F70C"/>
    <w:rsid w:val="037A7C3D"/>
    <w:rsid w:val="037EC44C"/>
    <w:rsid w:val="045BD001"/>
    <w:rsid w:val="04B3B0FC"/>
    <w:rsid w:val="04BA5874"/>
    <w:rsid w:val="0525F4BE"/>
    <w:rsid w:val="05718AAA"/>
    <w:rsid w:val="05A788CE"/>
    <w:rsid w:val="05CFD188"/>
    <w:rsid w:val="062CFDCD"/>
    <w:rsid w:val="062D43C6"/>
    <w:rsid w:val="064F856C"/>
    <w:rsid w:val="06D6FEA0"/>
    <w:rsid w:val="06D7520C"/>
    <w:rsid w:val="078CD2A1"/>
    <w:rsid w:val="07CA5B0A"/>
    <w:rsid w:val="07CE22E0"/>
    <w:rsid w:val="07EA02EE"/>
    <w:rsid w:val="0824B753"/>
    <w:rsid w:val="08398F2F"/>
    <w:rsid w:val="08C29D44"/>
    <w:rsid w:val="08F743FC"/>
    <w:rsid w:val="092B25C2"/>
    <w:rsid w:val="094D0B89"/>
    <w:rsid w:val="09D00B08"/>
    <w:rsid w:val="09E1B708"/>
    <w:rsid w:val="0A30D640"/>
    <w:rsid w:val="0A414916"/>
    <w:rsid w:val="0AB804AC"/>
    <w:rsid w:val="0ADCDC83"/>
    <w:rsid w:val="0B27A23A"/>
    <w:rsid w:val="0B2E10DE"/>
    <w:rsid w:val="0B5ED6B1"/>
    <w:rsid w:val="0B5FD323"/>
    <w:rsid w:val="0BB166C1"/>
    <w:rsid w:val="0C101C54"/>
    <w:rsid w:val="0C1C0301"/>
    <w:rsid w:val="0C787AB5"/>
    <w:rsid w:val="0C8468C1"/>
    <w:rsid w:val="0D1ABB5E"/>
    <w:rsid w:val="0DEB2E7D"/>
    <w:rsid w:val="0EB71DD7"/>
    <w:rsid w:val="0EBDEA87"/>
    <w:rsid w:val="0EDD8B44"/>
    <w:rsid w:val="0F0E5EC5"/>
    <w:rsid w:val="106DD57D"/>
    <w:rsid w:val="110D8EB5"/>
    <w:rsid w:val="116315EE"/>
    <w:rsid w:val="11994E97"/>
    <w:rsid w:val="11A1F15C"/>
    <w:rsid w:val="12051698"/>
    <w:rsid w:val="1244CEFE"/>
    <w:rsid w:val="130C2CF4"/>
    <w:rsid w:val="132107D2"/>
    <w:rsid w:val="1323A2CD"/>
    <w:rsid w:val="13C335E7"/>
    <w:rsid w:val="1402AEAD"/>
    <w:rsid w:val="143EE804"/>
    <w:rsid w:val="14452926"/>
    <w:rsid w:val="145DF8D5"/>
    <w:rsid w:val="15629619"/>
    <w:rsid w:val="1695D3D0"/>
    <w:rsid w:val="16CFFDC5"/>
    <w:rsid w:val="178B5156"/>
    <w:rsid w:val="17C16CFA"/>
    <w:rsid w:val="18289CD8"/>
    <w:rsid w:val="18343F58"/>
    <w:rsid w:val="184E759E"/>
    <w:rsid w:val="18BE1C97"/>
    <w:rsid w:val="18DC4A50"/>
    <w:rsid w:val="190369EB"/>
    <w:rsid w:val="1A22FEBE"/>
    <w:rsid w:val="1AE4EC4F"/>
    <w:rsid w:val="1B614B05"/>
    <w:rsid w:val="1B906F10"/>
    <w:rsid w:val="1BA02AFE"/>
    <w:rsid w:val="1BB80299"/>
    <w:rsid w:val="1CB86E51"/>
    <w:rsid w:val="1CF9CE0B"/>
    <w:rsid w:val="1D447C2A"/>
    <w:rsid w:val="1D51FA04"/>
    <w:rsid w:val="1DD4AC96"/>
    <w:rsid w:val="1DDB6F01"/>
    <w:rsid w:val="1E1D9103"/>
    <w:rsid w:val="1E4D5DF8"/>
    <w:rsid w:val="1E62F461"/>
    <w:rsid w:val="1E72E6CC"/>
    <w:rsid w:val="201BC1A2"/>
    <w:rsid w:val="2068CA99"/>
    <w:rsid w:val="20AD60E4"/>
    <w:rsid w:val="22E9C99C"/>
    <w:rsid w:val="23167ACD"/>
    <w:rsid w:val="23AD34A9"/>
    <w:rsid w:val="23B669BA"/>
    <w:rsid w:val="23EE454A"/>
    <w:rsid w:val="2432DF7D"/>
    <w:rsid w:val="2433FD0A"/>
    <w:rsid w:val="247D49F6"/>
    <w:rsid w:val="25885470"/>
    <w:rsid w:val="25A6AB9C"/>
    <w:rsid w:val="260EBCE4"/>
    <w:rsid w:val="26126ADD"/>
    <w:rsid w:val="26384BBA"/>
    <w:rsid w:val="2654F9BC"/>
    <w:rsid w:val="2701736D"/>
    <w:rsid w:val="274A126D"/>
    <w:rsid w:val="27770A13"/>
    <w:rsid w:val="27D1F7A5"/>
    <w:rsid w:val="27D45494"/>
    <w:rsid w:val="27E7AE47"/>
    <w:rsid w:val="283BF138"/>
    <w:rsid w:val="28480463"/>
    <w:rsid w:val="28CCBD3E"/>
    <w:rsid w:val="28FC7DA6"/>
    <w:rsid w:val="28FFE655"/>
    <w:rsid w:val="29BDF13A"/>
    <w:rsid w:val="2A5E09EF"/>
    <w:rsid w:val="2A6DC485"/>
    <w:rsid w:val="2AB7C8DE"/>
    <w:rsid w:val="2ABDEDA4"/>
    <w:rsid w:val="2B248DC7"/>
    <w:rsid w:val="2BC844F3"/>
    <w:rsid w:val="2C718EFD"/>
    <w:rsid w:val="2C9D6F6B"/>
    <w:rsid w:val="2DBC37B1"/>
    <w:rsid w:val="2DFE6910"/>
    <w:rsid w:val="2E3B095D"/>
    <w:rsid w:val="2E430535"/>
    <w:rsid w:val="2E8455FB"/>
    <w:rsid w:val="2E96B9AB"/>
    <w:rsid w:val="2EAD6ADD"/>
    <w:rsid w:val="2F947442"/>
    <w:rsid w:val="3011C646"/>
    <w:rsid w:val="3039CF62"/>
    <w:rsid w:val="30B87CBE"/>
    <w:rsid w:val="313A9902"/>
    <w:rsid w:val="3155D76D"/>
    <w:rsid w:val="31904E66"/>
    <w:rsid w:val="323F4DEF"/>
    <w:rsid w:val="32DA44B4"/>
    <w:rsid w:val="32F72A0B"/>
    <w:rsid w:val="330EE394"/>
    <w:rsid w:val="334F3857"/>
    <w:rsid w:val="33AB7308"/>
    <w:rsid w:val="33DCB508"/>
    <w:rsid w:val="340CEDF1"/>
    <w:rsid w:val="3463FC4C"/>
    <w:rsid w:val="34BD8705"/>
    <w:rsid w:val="35061A91"/>
    <w:rsid w:val="351F67E8"/>
    <w:rsid w:val="35436503"/>
    <w:rsid w:val="35452ADB"/>
    <w:rsid w:val="35A38C06"/>
    <w:rsid w:val="35C555CC"/>
    <w:rsid w:val="35F4D864"/>
    <w:rsid w:val="35F501D7"/>
    <w:rsid w:val="3756B60D"/>
    <w:rsid w:val="3816CCC9"/>
    <w:rsid w:val="382018C4"/>
    <w:rsid w:val="38342963"/>
    <w:rsid w:val="38BB9F3F"/>
    <w:rsid w:val="39F838D2"/>
    <w:rsid w:val="3A93DF03"/>
    <w:rsid w:val="3B5AA078"/>
    <w:rsid w:val="3B64E0D7"/>
    <w:rsid w:val="3BDCCA29"/>
    <w:rsid w:val="3C3F1785"/>
    <w:rsid w:val="3C6478DC"/>
    <w:rsid w:val="3CC10DC6"/>
    <w:rsid w:val="3CD9F94D"/>
    <w:rsid w:val="3CDE33D0"/>
    <w:rsid w:val="3D1DDB01"/>
    <w:rsid w:val="3D7E6389"/>
    <w:rsid w:val="3E1AFE13"/>
    <w:rsid w:val="3E444B99"/>
    <w:rsid w:val="3F220ADE"/>
    <w:rsid w:val="3FE7EBD7"/>
    <w:rsid w:val="4035DD0B"/>
    <w:rsid w:val="4045F712"/>
    <w:rsid w:val="40A4349C"/>
    <w:rsid w:val="40AF01B0"/>
    <w:rsid w:val="40CAD63C"/>
    <w:rsid w:val="4121CED8"/>
    <w:rsid w:val="41F9B75B"/>
    <w:rsid w:val="4231F3A8"/>
    <w:rsid w:val="424FEAF8"/>
    <w:rsid w:val="4299BBD6"/>
    <w:rsid w:val="429FEE56"/>
    <w:rsid w:val="4442D1EB"/>
    <w:rsid w:val="44639BDB"/>
    <w:rsid w:val="449A07B9"/>
    <w:rsid w:val="44E35F20"/>
    <w:rsid w:val="44E63982"/>
    <w:rsid w:val="456AD545"/>
    <w:rsid w:val="45A210BE"/>
    <w:rsid w:val="45C038FD"/>
    <w:rsid w:val="460ACDAC"/>
    <w:rsid w:val="462CFCA5"/>
    <w:rsid w:val="467805ED"/>
    <w:rsid w:val="469CDE17"/>
    <w:rsid w:val="46D2E4F6"/>
    <w:rsid w:val="472DEA8F"/>
    <w:rsid w:val="4736997D"/>
    <w:rsid w:val="4768D4D5"/>
    <w:rsid w:val="4786F5D1"/>
    <w:rsid w:val="47A44B49"/>
    <w:rsid w:val="47B6CB71"/>
    <w:rsid w:val="4808C957"/>
    <w:rsid w:val="48501269"/>
    <w:rsid w:val="48BFA2A7"/>
    <w:rsid w:val="4908C82E"/>
    <w:rsid w:val="49CACBC9"/>
    <w:rsid w:val="49F1466C"/>
    <w:rsid w:val="4AF50AFE"/>
    <w:rsid w:val="4B003F2E"/>
    <w:rsid w:val="4B440DC6"/>
    <w:rsid w:val="4B6D35E6"/>
    <w:rsid w:val="4B90464D"/>
    <w:rsid w:val="4C78EA99"/>
    <w:rsid w:val="4CB1494E"/>
    <w:rsid w:val="4CD87102"/>
    <w:rsid w:val="4D14E323"/>
    <w:rsid w:val="4D1FFAA4"/>
    <w:rsid w:val="4DE64D80"/>
    <w:rsid w:val="4DFBB036"/>
    <w:rsid w:val="4EEA8414"/>
    <w:rsid w:val="4EF06AA0"/>
    <w:rsid w:val="4F77118A"/>
    <w:rsid w:val="506550B5"/>
    <w:rsid w:val="50C69B12"/>
    <w:rsid w:val="514C50F1"/>
    <w:rsid w:val="5176117E"/>
    <w:rsid w:val="52DCE06A"/>
    <w:rsid w:val="5316EBD2"/>
    <w:rsid w:val="53960729"/>
    <w:rsid w:val="541BAC9B"/>
    <w:rsid w:val="54CE20F3"/>
    <w:rsid w:val="54DD9CD0"/>
    <w:rsid w:val="54E07359"/>
    <w:rsid w:val="5505BF1F"/>
    <w:rsid w:val="55625F68"/>
    <w:rsid w:val="56B8B02E"/>
    <w:rsid w:val="572A9C6D"/>
    <w:rsid w:val="5784273D"/>
    <w:rsid w:val="57E7DA88"/>
    <w:rsid w:val="58302631"/>
    <w:rsid w:val="58AAC818"/>
    <w:rsid w:val="59623E61"/>
    <w:rsid w:val="59734DD0"/>
    <w:rsid w:val="59C20F61"/>
    <w:rsid w:val="5BFDD52C"/>
    <w:rsid w:val="5C628E65"/>
    <w:rsid w:val="5D7AADB5"/>
    <w:rsid w:val="5DC08521"/>
    <w:rsid w:val="5E28B337"/>
    <w:rsid w:val="5F67CF2E"/>
    <w:rsid w:val="5F68E2E1"/>
    <w:rsid w:val="5FC84861"/>
    <w:rsid w:val="6035478B"/>
    <w:rsid w:val="60615E40"/>
    <w:rsid w:val="60DE0302"/>
    <w:rsid w:val="6110E740"/>
    <w:rsid w:val="61E93630"/>
    <w:rsid w:val="626E4498"/>
    <w:rsid w:val="62DF3967"/>
    <w:rsid w:val="63197517"/>
    <w:rsid w:val="63E62EA7"/>
    <w:rsid w:val="642CE499"/>
    <w:rsid w:val="6440E1B1"/>
    <w:rsid w:val="648509D1"/>
    <w:rsid w:val="648E2D9A"/>
    <w:rsid w:val="64B38B2F"/>
    <w:rsid w:val="64B70D24"/>
    <w:rsid w:val="64B7F803"/>
    <w:rsid w:val="652186F1"/>
    <w:rsid w:val="657B4B75"/>
    <w:rsid w:val="65B3A846"/>
    <w:rsid w:val="66245670"/>
    <w:rsid w:val="662E9D3F"/>
    <w:rsid w:val="663177C9"/>
    <w:rsid w:val="6653B46C"/>
    <w:rsid w:val="67A7AACC"/>
    <w:rsid w:val="67C3B39B"/>
    <w:rsid w:val="68FD2335"/>
    <w:rsid w:val="694A4E65"/>
    <w:rsid w:val="6A3B585F"/>
    <w:rsid w:val="6A4DAD2D"/>
    <w:rsid w:val="6A4DEECB"/>
    <w:rsid w:val="6A687D50"/>
    <w:rsid w:val="6B5B7F36"/>
    <w:rsid w:val="6C1CBA30"/>
    <w:rsid w:val="6CAA6561"/>
    <w:rsid w:val="6CB5CB3C"/>
    <w:rsid w:val="6D753A49"/>
    <w:rsid w:val="6DA6E597"/>
    <w:rsid w:val="6DE03806"/>
    <w:rsid w:val="6E157845"/>
    <w:rsid w:val="6E713914"/>
    <w:rsid w:val="6ECEFBE6"/>
    <w:rsid w:val="6FA728F8"/>
    <w:rsid w:val="6FC7A1DC"/>
    <w:rsid w:val="70AC202E"/>
    <w:rsid w:val="7152ABD0"/>
    <w:rsid w:val="71D3964B"/>
    <w:rsid w:val="7208966B"/>
    <w:rsid w:val="7279AE31"/>
    <w:rsid w:val="72A6DFA3"/>
    <w:rsid w:val="72E2D4E8"/>
    <w:rsid w:val="731AB494"/>
    <w:rsid w:val="735A69AD"/>
    <w:rsid w:val="74196933"/>
    <w:rsid w:val="7515A3AE"/>
    <w:rsid w:val="7546F6C6"/>
    <w:rsid w:val="75F7315E"/>
    <w:rsid w:val="75F98C67"/>
    <w:rsid w:val="76C4C563"/>
    <w:rsid w:val="7726F591"/>
    <w:rsid w:val="776510C6"/>
    <w:rsid w:val="7785EEB1"/>
    <w:rsid w:val="77ED1B48"/>
    <w:rsid w:val="782B15A1"/>
    <w:rsid w:val="78A026E6"/>
    <w:rsid w:val="78AC82CC"/>
    <w:rsid w:val="78DF14BB"/>
    <w:rsid w:val="79781936"/>
    <w:rsid w:val="7AB0AA28"/>
    <w:rsid w:val="7AE48101"/>
    <w:rsid w:val="7B190F01"/>
    <w:rsid w:val="7B4385FF"/>
    <w:rsid w:val="7BBE83FD"/>
    <w:rsid w:val="7C02D81B"/>
    <w:rsid w:val="7D35EDCF"/>
    <w:rsid w:val="7DE0E84C"/>
    <w:rsid w:val="7DF9A598"/>
    <w:rsid w:val="7F17B7DF"/>
    <w:rsid w:val="7F18BC6E"/>
    <w:rsid w:val="7F86C690"/>
    <w:rsid w:val="7F8EF7EA"/>
    <w:rsid w:val="7FD29486"/>
    <w:rsid w:val="7FE71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DC0C1"/>
  <w15:docId w15:val="{D8076790-FB7A-443C-8FD3-F418ABE4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C22"/>
    <w:rPr>
      <w:sz w:val="24"/>
      <w:szCs w:val="24"/>
    </w:rPr>
  </w:style>
  <w:style w:type="paragraph" w:styleId="Heading1">
    <w:name w:val="heading 1"/>
    <w:basedOn w:val="Normal"/>
    <w:next w:val="Normal"/>
    <w:qFormat/>
    <w:rsid w:val="003B71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04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042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AFD"/>
    <w:pPr>
      <w:tabs>
        <w:tab w:val="center" w:pos="4320"/>
        <w:tab w:val="right" w:pos="8640"/>
      </w:tabs>
    </w:pPr>
  </w:style>
  <w:style w:type="paragraph" w:styleId="Footer">
    <w:name w:val="footer"/>
    <w:basedOn w:val="Normal"/>
    <w:link w:val="FooterChar"/>
    <w:uiPriority w:val="99"/>
    <w:rsid w:val="00387AFD"/>
    <w:pPr>
      <w:tabs>
        <w:tab w:val="center" w:pos="4320"/>
        <w:tab w:val="right" w:pos="8640"/>
      </w:tabs>
    </w:pPr>
  </w:style>
  <w:style w:type="paragraph" w:customStyle="1" w:styleId="Default">
    <w:name w:val="Default"/>
    <w:rsid w:val="00387AFD"/>
    <w:pPr>
      <w:autoSpaceDE w:val="0"/>
      <w:autoSpaceDN w:val="0"/>
      <w:adjustRightInd w:val="0"/>
    </w:pPr>
    <w:rPr>
      <w:color w:val="000000"/>
      <w:sz w:val="24"/>
      <w:szCs w:val="24"/>
    </w:rPr>
  </w:style>
  <w:style w:type="character" w:styleId="PageNumber">
    <w:name w:val="page number"/>
    <w:basedOn w:val="DefaultParagraphFont"/>
    <w:rsid w:val="009F3EBE"/>
  </w:style>
  <w:style w:type="character" w:styleId="CommentReference">
    <w:name w:val="annotation reference"/>
    <w:semiHidden/>
    <w:rsid w:val="009A51E5"/>
    <w:rPr>
      <w:sz w:val="16"/>
      <w:szCs w:val="16"/>
    </w:rPr>
  </w:style>
  <w:style w:type="paragraph" w:styleId="CommentText">
    <w:name w:val="annotation text"/>
    <w:basedOn w:val="Normal"/>
    <w:semiHidden/>
    <w:rsid w:val="009A51E5"/>
    <w:rPr>
      <w:sz w:val="20"/>
      <w:szCs w:val="20"/>
    </w:rPr>
  </w:style>
  <w:style w:type="paragraph" w:styleId="CommentSubject">
    <w:name w:val="annotation subject"/>
    <w:basedOn w:val="CommentText"/>
    <w:next w:val="CommentText"/>
    <w:semiHidden/>
    <w:rsid w:val="009A51E5"/>
    <w:rPr>
      <w:b/>
      <w:bCs/>
    </w:rPr>
  </w:style>
  <w:style w:type="paragraph" w:styleId="BalloonText">
    <w:name w:val="Balloon Text"/>
    <w:basedOn w:val="Normal"/>
    <w:semiHidden/>
    <w:rsid w:val="009A51E5"/>
    <w:rPr>
      <w:rFonts w:ascii="Tahoma" w:hAnsi="Tahoma" w:cs="Tahoma"/>
      <w:sz w:val="16"/>
      <w:szCs w:val="16"/>
    </w:rPr>
  </w:style>
  <w:style w:type="table" w:styleId="TableGrid">
    <w:name w:val="Table Grid"/>
    <w:basedOn w:val="TableNormal"/>
    <w:rsid w:val="00B4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A55CB"/>
    <w:rPr>
      <w:color w:val="0000FF"/>
      <w:u w:val="single"/>
    </w:rPr>
  </w:style>
  <w:style w:type="character" w:customStyle="1" w:styleId="FooterChar">
    <w:name w:val="Footer Char"/>
    <w:link w:val="Footer"/>
    <w:uiPriority w:val="99"/>
    <w:locked/>
    <w:rsid w:val="00EC0421"/>
    <w:rPr>
      <w:sz w:val="24"/>
      <w:szCs w:val="24"/>
      <w:lang w:val="en-US" w:eastAsia="en-US" w:bidi="ar-SA"/>
    </w:rPr>
  </w:style>
  <w:style w:type="paragraph" w:customStyle="1" w:styleId="CoverTitle">
    <w:name w:val="Cover Title"/>
    <w:rsid w:val="00EC0421"/>
    <w:pPr>
      <w:jc w:val="center"/>
    </w:pPr>
    <w:rPr>
      <w:rFonts w:ascii="Arial" w:hAnsi="Arial" w:cs="StoneSans LT Semibold"/>
      <w:b/>
      <w:color w:val="3366FF"/>
      <w:sz w:val="48"/>
      <w:szCs w:val="42"/>
    </w:rPr>
  </w:style>
  <w:style w:type="paragraph" w:styleId="BodyText">
    <w:name w:val="Body Text"/>
    <w:basedOn w:val="Normal"/>
    <w:link w:val="BodyTextChar"/>
    <w:rsid w:val="00EC0421"/>
    <w:pPr>
      <w:spacing w:after="220"/>
    </w:pPr>
    <w:rPr>
      <w:rFonts w:ascii="Garamond" w:hAnsi="Garamond" w:cs="StoneSerif LT"/>
      <w:sz w:val="22"/>
      <w:szCs w:val="20"/>
    </w:rPr>
  </w:style>
  <w:style w:type="character" w:customStyle="1" w:styleId="BodyTextChar">
    <w:name w:val="Body Text Char"/>
    <w:link w:val="BodyText"/>
    <w:locked/>
    <w:rsid w:val="00EC0421"/>
    <w:rPr>
      <w:rFonts w:ascii="Garamond" w:hAnsi="Garamond" w:cs="StoneSerif LT"/>
      <w:sz w:val="22"/>
      <w:lang w:val="en-US" w:eastAsia="en-US" w:bidi="ar-SA"/>
    </w:rPr>
  </w:style>
  <w:style w:type="paragraph" w:customStyle="1" w:styleId="CoverNames">
    <w:name w:val="Cover Names"/>
    <w:rsid w:val="00EC0421"/>
    <w:pPr>
      <w:widowControl w:val="0"/>
      <w:tabs>
        <w:tab w:val="right" w:pos="10440"/>
      </w:tabs>
      <w:autoSpaceDE w:val="0"/>
      <w:autoSpaceDN w:val="0"/>
      <w:adjustRightInd w:val="0"/>
      <w:spacing w:line="210" w:lineRule="exact"/>
      <w:outlineLvl w:val="0"/>
    </w:pPr>
    <w:rPr>
      <w:rFonts w:ascii="Arial" w:hAnsi="Arial" w:cs="Arial"/>
      <w:b/>
      <w:bCs/>
      <w:color w:val="000000"/>
    </w:rPr>
  </w:style>
  <w:style w:type="paragraph" w:styleId="TOC1">
    <w:name w:val="toc 1"/>
    <w:basedOn w:val="Normal"/>
    <w:next w:val="Normal"/>
    <w:autoRedefine/>
    <w:uiPriority w:val="39"/>
    <w:rsid w:val="00EC0421"/>
    <w:pPr>
      <w:spacing w:before="120" w:after="120"/>
    </w:pPr>
    <w:rPr>
      <w:b/>
      <w:bCs/>
      <w:caps/>
      <w:sz w:val="20"/>
      <w:szCs w:val="20"/>
    </w:rPr>
  </w:style>
  <w:style w:type="paragraph" w:styleId="TOC2">
    <w:name w:val="toc 2"/>
    <w:basedOn w:val="Normal"/>
    <w:next w:val="Normal"/>
    <w:autoRedefine/>
    <w:uiPriority w:val="39"/>
    <w:rsid w:val="00EC0421"/>
    <w:pPr>
      <w:ind w:left="240"/>
    </w:pPr>
    <w:rPr>
      <w:smallCaps/>
      <w:sz w:val="20"/>
      <w:szCs w:val="20"/>
    </w:rPr>
  </w:style>
  <w:style w:type="paragraph" w:styleId="TOC3">
    <w:name w:val="toc 3"/>
    <w:basedOn w:val="Normal"/>
    <w:next w:val="Normal"/>
    <w:autoRedefine/>
    <w:uiPriority w:val="39"/>
    <w:rsid w:val="00EC0421"/>
    <w:pPr>
      <w:ind w:left="480"/>
    </w:pPr>
    <w:rPr>
      <w:i/>
      <w:iCs/>
      <w:sz w:val="20"/>
      <w:szCs w:val="20"/>
    </w:rPr>
  </w:style>
  <w:style w:type="paragraph" w:styleId="TOC4">
    <w:name w:val="toc 4"/>
    <w:basedOn w:val="Normal"/>
    <w:next w:val="Normal"/>
    <w:autoRedefine/>
    <w:semiHidden/>
    <w:rsid w:val="00EC0421"/>
    <w:pPr>
      <w:ind w:left="720"/>
    </w:pPr>
    <w:rPr>
      <w:sz w:val="18"/>
      <w:szCs w:val="18"/>
    </w:rPr>
  </w:style>
  <w:style w:type="paragraph" w:styleId="TOC5">
    <w:name w:val="toc 5"/>
    <w:basedOn w:val="Normal"/>
    <w:next w:val="Normal"/>
    <w:autoRedefine/>
    <w:semiHidden/>
    <w:rsid w:val="00EC0421"/>
    <w:pPr>
      <w:ind w:left="960"/>
    </w:pPr>
    <w:rPr>
      <w:sz w:val="18"/>
      <w:szCs w:val="18"/>
    </w:rPr>
  </w:style>
  <w:style w:type="paragraph" w:styleId="TOC6">
    <w:name w:val="toc 6"/>
    <w:basedOn w:val="Normal"/>
    <w:next w:val="Normal"/>
    <w:autoRedefine/>
    <w:semiHidden/>
    <w:rsid w:val="00EC0421"/>
    <w:pPr>
      <w:ind w:left="1200"/>
    </w:pPr>
    <w:rPr>
      <w:sz w:val="18"/>
      <w:szCs w:val="18"/>
    </w:rPr>
  </w:style>
  <w:style w:type="paragraph" w:styleId="TOC7">
    <w:name w:val="toc 7"/>
    <w:basedOn w:val="Normal"/>
    <w:next w:val="Normal"/>
    <w:autoRedefine/>
    <w:semiHidden/>
    <w:rsid w:val="00EC0421"/>
    <w:pPr>
      <w:ind w:left="1440"/>
    </w:pPr>
    <w:rPr>
      <w:sz w:val="18"/>
      <w:szCs w:val="18"/>
    </w:rPr>
  </w:style>
  <w:style w:type="paragraph" w:styleId="TOC8">
    <w:name w:val="toc 8"/>
    <w:basedOn w:val="Normal"/>
    <w:next w:val="Normal"/>
    <w:autoRedefine/>
    <w:semiHidden/>
    <w:rsid w:val="00EC0421"/>
    <w:pPr>
      <w:ind w:left="1680"/>
    </w:pPr>
    <w:rPr>
      <w:sz w:val="18"/>
      <w:szCs w:val="18"/>
    </w:rPr>
  </w:style>
  <w:style w:type="paragraph" w:styleId="TOC9">
    <w:name w:val="toc 9"/>
    <w:basedOn w:val="Normal"/>
    <w:next w:val="Normal"/>
    <w:autoRedefine/>
    <w:semiHidden/>
    <w:rsid w:val="00EC0421"/>
    <w:pPr>
      <w:ind w:left="1920"/>
    </w:pPr>
    <w:rPr>
      <w:sz w:val="18"/>
      <w:szCs w:val="18"/>
    </w:rPr>
  </w:style>
  <w:style w:type="character" w:customStyle="1" w:styleId="HeaderChar">
    <w:name w:val="Header Char"/>
    <w:link w:val="Header"/>
    <w:uiPriority w:val="99"/>
    <w:locked/>
    <w:rsid w:val="00EC0421"/>
    <w:rPr>
      <w:sz w:val="24"/>
      <w:szCs w:val="24"/>
      <w:lang w:val="en-US" w:eastAsia="en-US" w:bidi="ar-SA"/>
    </w:rPr>
  </w:style>
  <w:style w:type="table" w:styleId="TableProfessional">
    <w:name w:val="Table Professional"/>
    <w:basedOn w:val="TableNormal"/>
    <w:rsid w:val="000E0D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rsid w:val="008D30E4"/>
    <w:rPr>
      <w:color w:val="800080"/>
      <w:u w:val="single"/>
    </w:rPr>
  </w:style>
  <w:style w:type="paragraph" w:styleId="ListParagraph">
    <w:name w:val="List Paragraph"/>
    <w:basedOn w:val="Normal"/>
    <w:link w:val="ListParagraphChar"/>
    <w:uiPriority w:val="34"/>
    <w:qFormat/>
    <w:rsid w:val="008650E8"/>
    <w:pPr>
      <w:ind w:left="720"/>
    </w:pPr>
  </w:style>
  <w:style w:type="paragraph" w:styleId="NoSpacing">
    <w:name w:val="No Spacing"/>
    <w:link w:val="NoSpacingChar"/>
    <w:uiPriority w:val="1"/>
    <w:qFormat/>
    <w:rsid w:val="005253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2532E"/>
    <w:rPr>
      <w:rFonts w:asciiTheme="minorHAnsi" w:eastAsiaTheme="minorEastAsia" w:hAnsiTheme="minorHAnsi" w:cstheme="minorBidi"/>
      <w:sz w:val="22"/>
      <w:szCs w:val="22"/>
      <w:lang w:eastAsia="ja-JP"/>
    </w:rPr>
  </w:style>
  <w:style w:type="paragraph" w:styleId="FootnoteText">
    <w:name w:val="footnote text"/>
    <w:basedOn w:val="Normal"/>
    <w:link w:val="FootnoteTextChar"/>
    <w:rsid w:val="001A0668"/>
    <w:rPr>
      <w:sz w:val="20"/>
      <w:szCs w:val="20"/>
    </w:rPr>
  </w:style>
  <w:style w:type="character" w:customStyle="1" w:styleId="FootnoteTextChar">
    <w:name w:val="Footnote Text Char"/>
    <w:basedOn w:val="DefaultParagraphFont"/>
    <w:link w:val="FootnoteText"/>
    <w:rsid w:val="001A0668"/>
  </w:style>
  <w:style w:type="character" w:styleId="FootnoteReference">
    <w:name w:val="footnote reference"/>
    <w:basedOn w:val="DefaultParagraphFont"/>
    <w:rsid w:val="001A0668"/>
    <w:rPr>
      <w:vertAlign w:val="superscript"/>
    </w:rPr>
  </w:style>
  <w:style w:type="character" w:customStyle="1" w:styleId="ListParagraphChar">
    <w:name w:val="List Paragraph Char"/>
    <w:basedOn w:val="DefaultParagraphFont"/>
    <w:link w:val="ListParagraph"/>
    <w:uiPriority w:val="34"/>
    <w:rsid w:val="004C2F2E"/>
    <w:rPr>
      <w:sz w:val="24"/>
      <w:szCs w:val="24"/>
    </w:rPr>
  </w:style>
  <w:style w:type="paragraph" w:styleId="TOCHeading">
    <w:name w:val="TOC Heading"/>
    <w:basedOn w:val="Heading1"/>
    <w:next w:val="Normal"/>
    <w:uiPriority w:val="39"/>
    <w:semiHidden/>
    <w:unhideWhenUsed/>
    <w:qFormat/>
    <w:rsid w:val="00F36B5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UnresolvedMention">
    <w:name w:val="Unresolved Mention"/>
    <w:basedOn w:val="DefaultParagraphFont"/>
    <w:uiPriority w:val="99"/>
    <w:semiHidden/>
    <w:unhideWhenUsed/>
    <w:rsid w:val="00965C2C"/>
    <w:rPr>
      <w:color w:val="605E5C"/>
      <w:shd w:val="clear" w:color="auto" w:fill="E1DFDD"/>
    </w:rPr>
  </w:style>
  <w:style w:type="paragraph" w:styleId="Revision">
    <w:name w:val="Revision"/>
    <w:hidden/>
    <w:uiPriority w:val="99"/>
    <w:semiHidden/>
    <w:rsid w:val="00A41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5334">
      <w:bodyDiv w:val="1"/>
      <w:marLeft w:val="0"/>
      <w:marRight w:val="0"/>
      <w:marTop w:val="0"/>
      <w:marBottom w:val="0"/>
      <w:divBdr>
        <w:top w:val="none" w:sz="0" w:space="0" w:color="auto"/>
        <w:left w:val="none" w:sz="0" w:space="0" w:color="auto"/>
        <w:bottom w:val="none" w:sz="0" w:space="0" w:color="auto"/>
        <w:right w:val="none" w:sz="0" w:space="0" w:color="auto"/>
      </w:divBdr>
      <w:divsChild>
        <w:div w:id="1313944703">
          <w:marLeft w:val="547"/>
          <w:marRight w:val="0"/>
          <w:marTop w:val="0"/>
          <w:marBottom w:val="0"/>
          <w:divBdr>
            <w:top w:val="none" w:sz="0" w:space="0" w:color="auto"/>
            <w:left w:val="none" w:sz="0" w:space="0" w:color="auto"/>
            <w:bottom w:val="none" w:sz="0" w:space="0" w:color="auto"/>
            <w:right w:val="none" w:sz="0" w:space="0" w:color="auto"/>
          </w:divBdr>
        </w:div>
      </w:divsChild>
    </w:div>
    <w:div w:id="146629579">
      <w:bodyDiv w:val="1"/>
      <w:marLeft w:val="0"/>
      <w:marRight w:val="0"/>
      <w:marTop w:val="0"/>
      <w:marBottom w:val="0"/>
      <w:divBdr>
        <w:top w:val="none" w:sz="0" w:space="0" w:color="auto"/>
        <w:left w:val="none" w:sz="0" w:space="0" w:color="auto"/>
        <w:bottom w:val="none" w:sz="0" w:space="0" w:color="auto"/>
        <w:right w:val="none" w:sz="0" w:space="0" w:color="auto"/>
      </w:divBdr>
    </w:div>
    <w:div w:id="369842029">
      <w:bodyDiv w:val="1"/>
      <w:marLeft w:val="0"/>
      <w:marRight w:val="0"/>
      <w:marTop w:val="0"/>
      <w:marBottom w:val="0"/>
      <w:divBdr>
        <w:top w:val="none" w:sz="0" w:space="0" w:color="auto"/>
        <w:left w:val="none" w:sz="0" w:space="0" w:color="auto"/>
        <w:bottom w:val="none" w:sz="0" w:space="0" w:color="auto"/>
        <w:right w:val="none" w:sz="0" w:space="0" w:color="auto"/>
      </w:divBdr>
      <w:divsChild>
        <w:div w:id="1576739743">
          <w:marLeft w:val="547"/>
          <w:marRight w:val="0"/>
          <w:marTop w:val="0"/>
          <w:marBottom w:val="0"/>
          <w:divBdr>
            <w:top w:val="none" w:sz="0" w:space="0" w:color="auto"/>
            <w:left w:val="none" w:sz="0" w:space="0" w:color="auto"/>
            <w:bottom w:val="none" w:sz="0" w:space="0" w:color="auto"/>
            <w:right w:val="none" w:sz="0" w:space="0" w:color="auto"/>
          </w:divBdr>
        </w:div>
      </w:divsChild>
    </w:div>
    <w:div w:id="583875080">
      <w:bodyDiv w:val="1"/>
      <w:marLeft w:val="0"/>
      <w:marRight w:val="0"/>
      <w:marTop w:val="0"/>
      <w:marBottom w:val="0"/>
      <w:divBdr>
        <w:top w:val="none" w:sz="0" w:space="0" w:color="auto"/>
        <w:left w:val="none" w:sz="0" w:space="0" w:color="auto"/>
        <w:bottom w:val="none" w:sz="0" w:space="0" w:color="auto"/>
        <w:right w:val="none" w:sz="0" w:space="0" w:color="auto"/>
      </w:divBdr>
      <w:divsChild>
        <w:div w:id="1104493036">
          <w:marLeft w:val="547"/>
          <w:marRight w:val="0"/>
          <w:marTop w:val="0"/>
          <w:marBottom w:val="0"/>
          <w:divBdr>
            <w:top w:val="none" w:sz="0" w:space="0" w:color="auto"/>
            <w:left w:val="none" w:sz="0" w:space="0" w:color="auto"/>
            <w:bottom w:val="none" w:sz="0" w:space="0" w:color="auto"/>
            <w:right w:val="none" w:sz="0" w:space="0" w:color="auto"/>
          </w:divBdr>
        </w:div>
      </w:divsChild>
    </w:div>
    <w:div w:id="626863438">
      <w:bodyDiv w:val="1"/>
      <w:marLeft w:val="0"/>
      <w:marRight w:val="0"/>
      <w:marTop w:val="0"/>
      <w:marBottom w:val="0"/>
      <w:divBdr>
        <w:top w:val="none" w:sz="0" w:space="0" w:color="auto"/>
        <w:left w:val="none" w:sz="0" w:space="0" w:color="auto"/>
        <w:bottom w:val="none" w:sz="0" w:space="0" w:color="auto"/>
        <w:right w:val="none" w:sz="0" w:space="0" w:color="auto"/>
      </w:divBdr>
    </w:div>
    <w:div w:id="688409735">
      <w:bodyDiv w:val="1"/>
      <w:marLeft w:val="0"/>
      <w:marRight w:val="0"/>
      <w:marTop w:val="0"/>
      <w:marBottom w:val="0"/>
      <w:divBdr>
        <w:top w:val="none" w:sz="0" w:space="0" w:color="auto"/>
        <w:left w:val="none" w:sz="0" w:space="0" w:color="auto"/>
        <w:bottom w:val="none" w:sz="0" w:space="0" w:color="auto"/>
        <w:right w:val="none" w:sz="0" w:space="0" w:color="auto"/>
      </w:divBdr>
    </w:div>
    <w:div w:id="737829782">
      <w:bodyDiv w:val="1"/>
      <w:marLeft w:val="0"/>
      <w:marRight w:val="0"/>
      <w:marTop w:val="0"/>
      <w:marBottom w:val="0"/>
      <w:divBdr>
        <w:top w:val="none" w:sz="0" w:space="0" w:color="auto"/>
        <w:left w:val="none" w:sz="0" w:space="0" w:color="auto"/>
        <w:bottom w:val="none" w:sz="0" w:space="0" w:color="auto"/>
        <w:right w:val="none" w:sz="0" w:space="0" w:color="auto"/>
      </w:divBdr>
    </w:div>
    <w:div w:id="795106707">
      <w:bodyDiv w:val="1"/>
      <w:marLeft w:val="0"/>
      <w:marRight w:val="0"/>
      <w:marTop w:val="0"/>
      <w:marBottom w:val="0"/>
      <w:divBdr>
        <w:top w:val="none" w:sz="0" w:space="0" w:color="auto"/>
        <w:left w:val="none" w:sz="0" w:space="0" w:color="auto"/>
        <w:bottom w:val="none" w:sz="0" w:space="0" w:color="auto"/>
        <w:right w:val="none" w:sz="0" w:space="0" w:color="auto"/>
      </w:divBdr>
    </w:div>
    <w:div w:id="878856365">
      <w:bodyDiv w:val="1"/>
      <w:marLeft w:val="0"/>
      <w:marRight w:val="0"/>
      <w:marTop w:val="0"/>
      <w:marBottom w:val="0"/>
      <w:divBdr>
        <w:top w:val="none" w:sz="0" w:space="0" w:color="auto"/>
        <w:left w:val="none" w:sz="0" w:space="0" w:color="auto"/>
        <w:bottom w:val="none" w:sz="0" w:space="0" w:color="auto"/>
        <w:right w:val="none" w:sz="0" w:space="0" w:color="auto"/>
      </w:divBdr>
    </w:div>
    <w:div w:id="896016792">
      <w:bodyDiv w:val="1"/>
      <w:marLeft w:val="0"/>
      <w:marRight w:val="0"/>
      <w:marTop w:val="0"/>
      <w:marBottom w:val="0"/>
      <w:divBdr>
        <w:top w:val="none" w:sz="0" w:space="0" w:color="auto"/>
        <w:left w:val="none" w:sz="0" w:space="0" w:color="auto"/>
        <w:bottom w:val="none" w:sz="0" w:space="0" w:color="auto"/>
        <w:right w:val="none" w:sz="0" w:space="0" w:color="auto"/>
      </w:divBdr>
    </w:div>
    <w:div w:id="934896379">
      <w:bodyDiv w:val="1"/>
      <w:marLeft w:val="0"/>
      <w:marRight w:val="0"/>
      <w:marTop w:val="0"/>
      <w:marBottom w:val="0"/>
      <w:divBdr>
        <w:top w:val="none" w:sz="0" w:space="0" w:color="auto"/>
        <w:left w:val="none" w:sz="0" w:space="0" w:color="auto"/>
        <w:bottom w:val="none" w:sz="0" w:space="0" w:color="auto"/>
        <w:right w:val="none" w:sz="0" w:space="0" w:color="auto"/>
      </w:divBdr>
    </w:div>
    <w:div w:id="1196503021">
      <w:bodyDiv w:val="1"/>
      <w:marLeft w:val="0"/>
      <w:marRight w:val="0"/>
      <w:marTop w:val="0"/>
      <w:marBottom w:val="0"/>
      <w:divBdr>
        <w:top w:val="none" w:sz="0" w:space="0" w:color="auto"/>
        <w:left w:val="none" w:sz="0" w:space="0" w:color="auto"/>
        <w:bottom w:val="none" w:sz="0" w:space="0" w:color="auto"/>
        <w:right w:val="none" w:sz="0" w:space="0" w:color="auto"/>
      </w:divBdr>
    </w:div>
    <w:div w:id="1199928625">
      <w:bodyDiv w:val="1"/>
      <w:marLeft w:val="0"/>
      <w:marRight w:val="0"/>
      <w:marTop w:val="0"/>
      <w:marBottom w:val="0"/>
      <w:divBdr>
        <w:top w:val="none" w:sz="0" w:space="0" w:color="auto"/>
        <w:left w:val="none" w:sz="0" w:space="0" w:color="auto"/>
        <w:bottom w:val="none" w:sz="0" w:space="0" w:color="auto"/>
        <w:right w:val="none" w:sz="0" w:space="0" w:color="auto"/>
      </w:divBdr>
    </w:div>
    <w:div w:id="1244874499">
      <w:bodyDiv w:val="1"/>
      <w:marLeft w:val="0"/>
      <w:marRight w:val="0"/>
      <w:marTop w:val="0"/>
      <w:marBottom w:val="0"/>
      <w:divBdr>
        <w:top w:val="none" w:sz="0" w:space="0" w:color="auto"/>
        <w:left w:val="none" w:sz="0" w:space="0" w:color="auto"/>
        <w:bottom w:val="none" w:sz="0" w:space="0" w:color="auto"/>
        <w:right w:val="none" w:sz="0" w:space="0" w:color="auto"/>
      </w:divBdr>
    </w:div>
    <w:div w:id="1250579447">
      <w:bodyDiv w:val="1"/>
      <w:marLeft w:val="0"/>
      <w:marRight w:val="0"/>
      <w:marTop w:val="0"/>
      <w:marBottom w:val="0"/>
      <w:divBdr>
        <w:top w:val="none" w:sz="0" w:space="0" w:color="auto"/>
        <w:left w:val="none" w:sz="0" w:space="0" w:color="auto"/>
        <w:bottom w:val="none" w:sz="0" w:space="0" w:color="auto"/>
        <w:right w:val="none" w:sz="0" w:space="0" w:color="auto"/>
      </w:divBdr>
    </w:div>
    <w:div w:id="1252930010">
      <w:bodyDiv w:val="1"/>
      <w:marLeft w:val="0"/>
      <w:marRight w:val="0"/>
      <w:marTop w:val="0"/>
      <w:marBottom w:val="0"/>
      <w:divBdr>
        <w:top w:val="none" w:sz="0" w:space="0" w:color="auto"/>
        <w:left w:val="none" w:sz="0" w:space="0" w:color="auto"/>
        <w:bottom w:val="none" w:sz="0" w:space="0" w:color="auto"/>
        <w:right w:val="none" w:sz="0" w:space="0" w:color="auto"/>
      </w:divBdr>
    </w:div>
    <w:div w:id="1301419927">
      <w:bodyDiv w:val="1"/>
      <w:marLeft w:val="0"/>
      <w:marRight w:val="0"/>
      <w:marTop w:val="0"/>
      <w:marBottom w:val="0"/>
      <w:divBdr>
        <w:top w:val="none" w:sz="0" w:space="0" w:color="auto"/>
        <w:left w:val="none" w:sz="0" w:space="0" w:color="auto"/>
        <w:bottom w:val="none" w:sz="0" w:space="0" w:color="auto"/>
        <w:right w:val="none" w:sz="0" w:space="0" w:color="auto"/>
      </w:divBdr>
    </w:div>
    <w:div w:id="1336878925">
      <w:bodyDiv w:val="1"/>
      <w:marLeft w:val="0"/>
      <w:marRight w:val="0"/>
      <w:marTop w:val="0"/>
      <w:marBottom w:val="0"/>
      <w:divBdr>
        <w:top w:val="none" w:sz="0" w:space="0" w:color="auto"/>
        <w:left w:val="none" w:sz="0" w:space="0" w:color="auto"/>
        <w:bottom w:val="none" w:sz="0" w:space="0" w:color="auto"/>
        <w:right w:val="none" w:sz="0" w:space="0" w:color="auto"/>
      </w:divBdr>
    </w:div>
    <w:div w:id="1437599699">
      <w:bodyDiv w:val="1"/>
      <w:marLeft w:val="0"/>
      <w:marRight w:val="0"/>
      <w:marTop w:val="0"/>
      <w:marBottom w:val="0"/>
      <w:divBdr>
        <w:top w:val="none" w:sz="0" w:space="0" w:color="auto"/>
        <w:left w:val="none" w:sz="0" w:space="0" w:color="auto"/>
        <w:bottom w:val="none" w:sz="0" w:space="0" w:color="auto"/>
        <w:right w:val="none" w:sz="0" w:space="0" w:color="auto"/>
      </w:divBdr>
      <w:divsChild>
        <w:div w:id="422385334">
          <w:marLeft w:val="547"/>
          <w:marRight w:val="0"/>
          <w:marTop w:val="0"/>
          <w:marBottom w:val="0"/>
          <w:divBdr>
            <w:top w:val="none" w:sz="0" w:space="0" w:color="auto"/>
            <w:left w:val="none" w:sz="0" w:space="0" w:color="auto"/>
            <w:bottom w:val="none" w:sz="0" w:space="0" w:color="auto"/>
            <w:right w:val="none" w:sz="0" w:space="0" w:color="auto"/>
          </w:divBdr>
        </w:div>
      </w:divsChild>
    </w:div>
    <w:div w:id="1554272461">
      <w:bodyDiv w:val="1"/>
      <w:marLeft w:val="0"/>
      <w:marRight w:val="0"/>
      <w:marTop w:val="0"/>
      <w:marBottom w:val="0"/>
      <w:divBdr>
        <w:top w:val="none" w:sz="0" w:space="0" w:color="auto"/>
        <w:left w:val="none" w:sz="0" w:space="0" w:color="auto"/>
        <w:bottom w:val="none" w:sz="0" w:space="0" w:color="auto"/>
        <w:right w:val="none" w:sz="0" w:space="0" w:color="auto"/>
      </w:divBdr>
    </w:div>
    <w:div w:id="1727340275">
      <w:bodyDiv w:val="1"/>
      <w:marLeft w:val="0"/>
      <w:marRight w:val="0"/>
      <w:marTop w:val="0"/>
      <w:marBottom w:val="0"/>
      <w:divBdr>
        <w:top w:val="none" w:sz="0" w:space="0" w:color="auto"/>
        <w:left w:val="none" w:sz="0" w:space="0" w:color="auto"/>
        <w:bottom w:val="none" w:sz="0" w:space="0" w:color="auto"/>
        <w:right w:val="none" w:sz="0" w:space="0" w:color="auto"/>
      </w:divBdr>
    </w:div>
    <w:div w:id="1769887983">
      <w:bodyDiv w:val="1"/>
      <w:marLeft w:val="0"/>
      <w:marRight w:val="0"/>
      <w:marTop w:val="0"/>
      <w:marBottom w:val="0"/>
      <w:divBdr>
        <w:top w:val="none" w:sz="0" w:space="0" w:color="auto"/>
        <w:left w:val="none" w:sz="0" w:space="0" w:color="auto"/>
        <w:bottom w:val="none" w:sz="0" w:space="0" w:color="auto"/>
        <w:right w:val="none" w:sz="0" w:space="0" w:color="auto"/>
      </w:divBdr>
    </w:div>
    <w:div w:id="1777367038">
      <w:bodyDiv w:val="1"/>
      <w:marLeft w:val="0"/>
      <w:marRight w:val="0"/>
      <w:marTop w:val="0"/>
      <w:marBottom w:val="0"/>
      <w:divBdr>
        <w:top w:val="none" w:sz="0" w:space="0" w:color="auto"/>
        <w:left w:val="none" w:sz="0" w:space="0" w:color="auto"/>
        <w:bottom w:val="none" w:sz="0" w:space="0" w:color="auto"/>
        <w:right w:val="none" w:sz="0" w:space="0" w:color="auto"/>
      </w:divBdr>
    </w:div>
    <w:div w:id="1824269505">
      <w:bodyDiv w:val="1"/>
      <w:marLeft w:val="0"/>
      <w:marRight w:val="0"/>
      <w:marTop w:val="0"/>
      <w:marBottom w:val="0"/>
      <w:divBdr>
        <w:top w:val="none" w:sz="0" w:space="0" w:color="auto"/>
        <w:left w:val="none" w:sz="0" w:space="0" w:color="auto"/>
        <w:bottom w:val="none" w:sz="0" w:space="0" w:color="auto"/>
        <w:right w:val="none" w:sz="0" w:space="0" w:color="auto"/>
      </w:divBdr>
    </w:div>
    <w:div w:id="1866596418">
      <w:bodyDiv w:val="1"/>
      <w:marLeft w:val="0"/>
      <w:marRight w:val="0"/>
      <w:marTop w:val="0"/>
      <w:marBottom w:val="0"/>
      <w:divBdr>
        <w:top w:val="none" w:sz="0" w:space="0" w:color="auto"/>
        <w:left w:val="none" w:sz="0" w:space="0" w:color="auto"/>
        <w:bottom w:val="none" w:sz="0" w:space="0" w:color="auto"/>
        <w:right w:val="none" w:sz="0" w:space="0" w:color="auto"/>
      </w:divBdr>
    </w:div>
    <w:div w:id="1923491873">
      <w:bodyDiv w:val="1"/>
      <w:marLeft w:val="0"/>
      <w:marRight w:val="0"/>
      <w:marTop w:val="0"/>
      <w:marBottom w:val="0"/>
      <w:divBdr>
        <w:top w:val="none" w:sz="0" w:space="0" w:color="auto"/>
        <w:left w:val="none" w:sz="0" w:space="0" w:color="auto"/>
        <w:bottom w:val="none" w:sz="0" w:space="0" w:color="auto"/>
        <w:right w:val="none" w:sz="0" w:space="0" w:color="auto"/>
      </w:divBdr>
    </w:div>
    <w:div w:id="1995139319">
      <w:bodyDiv w:val="1"/>
      <w:marLeft w:val="0"/>
      <w:marRight w:val="0"/>
      <w:marTop w:val="0"/>
      <w:marBottom w:val="0"/>
      <w:divBdr>
        <w:top w:val="none" w:sz="0" w:space="0" w:color="auto"/>
        <w:left w:val="none" w:sz="0" w:space="0" w:color="auto"/>
        <w:bottom w:val="none" w:sz="0" w:space="0" w:color="auto"/>
        <w:right w:val="none" w:sz="0" w:space="0" w:color="auto"/>
      </w:divBdr>
    </w:div>
    <w:div w:id="20021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hiasubmissions.chia.state.ma.us/SSO/Account/Login?ReturnUrl=%2fsso" TargetMode="External"/><Relationship Id="rId26"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amass.gov/payer-data-reporting-relative-price-rp/"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amass.gov/information-for-data-submi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chiamass.gov/information-for-data-submitters-payer-data-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F8C92DCD34D4696A56BD78E23E1D2" ma:contentTypeVersion="16" ma:contentTypeDescription="Create a new document." ma:contentTypeScope="" ma:versionID="d6587ee40f6698b3de930e9f535a6785">
  <xsd:schema xmlns:xsd="http://www.w3.org/2001/XMLSchema" xmlns:xs="http://www.w3.org/2001/XMLSchema" xmlns:p="http://schemas.microsoft.com/office/2006/metadata/properties" xmlns:ns2="d4137db0-9494-48c3-b40f-95d5e3e92c51" xmlns:ns3="87f10b41-d777-4422-a68b-7da5c95eb453" targetNamespace="http://schemas.microsoft.com/office/2006/metadata/properties" ma:root="true" ma:fieldsID="9ce1f53a175fb7451204494aa6e92d9a" ns2:_="" ns3:_="">
    <xsd:import namespace="d4137db0-9494-48c3-b40f-95d5e3e92c51"/>
    <xsd:import namespace="87f10b41-d777-4422-a68b-7da5c95eb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7db0-9494-48c3-b40f-95d5e3e9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10b41-d777-4422-a68b-7da5c95e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368e2a-31eb-439d-89b9-0c88ebd6fb8e}" ma:internalName="TaxCatchAll" ma:showField="CatchAllData" ma:web="87f10b41-d777-4422-a68b-7da5c95eb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f10b41-d777-4422-a68b-7da5c95eb453" xsi:nil="true"/>
    <lcf76f155ced4ddcb4097134ff3c332f xmlns="d4137db0-9494-48c3-b40f-95d5e3e92c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2009-474E-4F15-870D-DE753490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7db0-9494-48c3-b40f-95d5e3e92c51"/>
    <ds:schemaRef ds:uri="87f10b41-d777-4422-a68b-7da5c95e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CEEEC-16B4-447C-8F68-07143B895C06}">
  <ds:schemaRefs>
    <ds:schemaRef ds:uri="http://schemas.microsoft.com/sharepoint/v3/contenttype/forms"/>
  </ds:schemaRefs>
</ds:datastoreItem>
</file>

<file path=customXml/itemProps3.xml><?xml version="1.0" encoding="utf-8"?>
<ds:datastoreItem xmlns:ds="http://schemas.openxmlformats.org/officeDocument/2006/customXml" ds:itemID="{7683EDBA-8335-4A28-92E6-168F4F5DDC64}">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87f10b41-d777-4422-a68b-7da5c95eb453"/>
    <ds:schemaRef ds:uri="http://schemas.microsoft.com/office/infopath/2007/PartnerControls"/>
    <ds:schemaRef ds:uri="d4137db0-9494-48c3-b40f-95d5e3e92c51"/>
  </ds:schemaRefs>
</ds:datastoreItem>
</file>

<file path=customXml/itemProps4.xml><?xml version="1.0" encoding="utf-8"?>
<ds:datastoreItem xmlns:ds="http://schemas.openxmlformats.org/officeDocument/2006/customXml" ds:itemID="{DCD47191-F8DA-4805-A90F-4335046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4651</Words>
  <Characters>27403</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Data Specification Manual</vt:lpstr>
    </vt:vector>
  </TitlesOfParts>
  <Company>center for health information and analysis</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Manual</dc:title>
  <dc:subject>957 CMR 2.00: Payer Reporting of Relative Prices</dc:subject>
  <dc:creator>Caitlin Sullivan</dc:creator>
  <cp:keywords/>
  <cp:lastModifiedBy>Eric Yang</cp:lastModifiedBy>
  <cp:revision>6</cp:revision>
  <cp:lastPrinted>2024-08-15T17:09:00Z</cp:lastPrinted>
  <dcterms:created xsi:type="dcterms:W3CDTF">2024-08-15T16:48:00Z</dcterms:created>
  <dcterms:modified xsi:type="dcterms:W3CDTF">2024-09-24T19:28:00Z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0x010100AC6F8C92DCD34D4696A56BD78E23E1D2</vt:lpwstr>
  </property>
  <property fmtid="{D5CDD505-2E9C-101B-9397-08002B2CF9AE}" pid="4" name="MediaServiceImageTags">
    <vt:lpwstr/>
  </property>
</Properties>
</file>