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2"/>
      </w:pPr>
      <w:r>
        <w:rPr>
          <w:b/>
        </w:rPr>
        <w:t>Council</w:t>
      </w:r>
      <w:r>
        <w:rPr>
          <w:b/>
          <w:spacing w:val="-1"/>
        </w:rPr>
        <w:t> </w:t>
      </w:r>
      <w:r>
        <w:rPr>
          <w:b/>
        </w:rPr>
        <w:t>members</w:t>
      </w:r>
      <w:r>
        <w:rPr>
          <w:b/>
          <w:spacing w:val="-1"/>
        </w:rPr>
        <w:t> </w:t>
      </w:r>
      <w:r>
        <w:rPr>
          <w:b/>
        </w:rPr>
        <w:t>present: </w:t>
      </w:r>
      <w:r>
        <w:rPr/>
        <w:t>Ms.</w:t>
      </w:r>
      <w:r>
        <w:rPr>
          <w:spacing w:val="-1"/>
        </w:rPr>
        <w:t> </w:t>
      </w:r>
      <w:r>
        <w:rPr/>
        <w:t>Laura Adams;</w:t>
      </w:r>
      <w:r>
        <w:rPr>
          <w:spacing w:val="-1"/>
        </w:rPr>
        <w:t> </w:t>
      </w:r>
      <w:r>
        <w:rPr/>
        <w:t>Ms. Coleen Elstermeyer, designee of Executive Director David</w:t>
      </w:r>
      <w:r>
        <w:rPr>
          <w:spacing w:val="-3"/>
        </w:rPr>
        <w:t> </w:t>
      </w:r>
      <w:r>
        <w:rPr/>
        <w:t>Seltz,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Policy</w:t>
      </w:r>
      <w:r>
        <w:rPr>
          <w:spacing w:val="-3"/>
        </w:rPr>
        <w:t> </w:t>
      </w:r>
      <w:r>
        <w:rPr/>
        <w:t>Commission;</w:t>
      </w:r>
      <w:r>
        <w:rPr>
          <w:spacing w:val="-4"/>
        </w:rPr>
        <w:t> </w:t>
      </w:r>
      <w:r>
        <w:rPr/>
        <w:t>Mr.</w:t>
      </w:r>
      <w:r>
        <w:rPr>
          <w:spacing w:val="-2"/>
        </w:rPr>
        <w:t> </w:t>
      </w:r>
      <w:r>
        <w:rPr/>
        <w:t>Brent</w:t>
      </w:r>
      <w:r>
        <w:rPr>
          <w:spacing w:val="-2"/>
        </w:rPr>
        <w:t> </w:t>
      </w:r>
      <w:r>
        <w:rPr/>
        <w:t>Benson,</w:t>
      </w:r>
      <w:r>
        <w:rPr>
          <w:spacing w:val="-4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Auditor;</w:t>
      </w:r>
      <w:r>
        <w:rPr>
          <w:spacing w:val="-3"/>
        </w:rPr>
        <w:t> </w:t>
      </w:r>
      <w:r>
        <w:rPr/>
        <w:t>Ms.</w:t>
      </w:r>
      <w:r>
        <w:rPr>
          <w:spacing w:val="-4"/>
        </w:rPr>
        <w:t> </w:t>
      </w:r>
      <w:r>
        <w:rPr/>
        <w:t>Fay</w:t>
      </w:r>
      <w:r>
        <w:rPr>
          <w:spacing w:val="-4"/>
        </w:rPr>
        <w:t> </w:t>
      </w:r>
      <w:r>
        <w:rPr/>
        <w:t>Donohue; Dr. Adrianna McIntyre; Mr. Niels Puetthoff, designee of Commissioner Gary Anderson, Division of Insurance; Ms. Cassandra Roeder, designee of Secretary Matthew Gorzkowicz, Executive Office for Administration and Finance; Ms. Karen Tseng, designee of Secretary Kate Walsh, Executive Office of Health and Human Services; Ms. Sandra Wolitzky, Office of the Attorney General; and Ms. Jean Yang.</w:t>
      </w:r>
    </w:p>
    <w:p>
      <w:pPr>
        <w:pStyle w:val="BodyText"/>
        <w:spacing w:before="1"/>
      </w:pPr>
    </w:p>
    <w:p>
      <w:pPr>
        <w:pStyle w:val="BodyText"/>
      </w:pPr>
      <w:r>
        <w:rPr/>
        <w:t>Ms.</w:t>
      </w:r>
      <w:r>
        <w:rPr>
          <w:spacing w:val="-7"/>
        </w:rPr>
        <w:t> </w:t>
      </w:r>
      <w:r>
        <w:rPr/>
        <w:t>Donohue</w:t>
      </w:r>
      <w:r>
        <w:rPr>
          <w:spacing w:val="-6"/>
        </w:rPr>
        <w:t> </w:t>
      </w:r>
      <w:r>
        <w:rPr/>
        <w:t>called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order</w:t>
      </w:r>
      <w:r>
        <w:rPr>
          <w:spacing w:val="-3"/>
        </w:rPr>
        <w:t> </w:t>
      </w:r>
      <w:r>
        <w:rPr/>
        <w:t>at</w:t>
      </w:r>
      <w:r>
        <w:rPr>
          <w:spacing w:val="-7"/>
        </w:rPr>
        <w:t> </w:t>
      </w:r>
      <w:r>
        <w:rPr/>
        <w:t>10:02</w:t>
      </w:r>
      <w:r>
        <w:rPr>
          <w:spacing w:val="-4"/>
        </w:rPr>
        <w:t> a.m.</w:t>
      </w: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229" w:after="0"/>
        <w:ind w:left="720" w:right="0" w:hanging="720"/>
        <w:jc w:val="left"/>
      </w:pPr>
      <w:r>
        <w:rPr>
          <w:smallCaps/>
        </w:rPr>
        <w:t>Approval</w:t>
      </w:r>
      <w:r>
        <w:rPr>
          <w:smallCaps/>
          <w:spacing w:val="-5"/>
        </w:rPr>
        <w:t> </w:t>
      </w:r>
      <w:r>
        <w:rPr>
          <w:smallCaps/>
        </w:rPr>
        <w:t>of</w:t>
      </w:r>
      <w:r>
        <w:rPr>
          <w:smallCaps/>
          <w:spacing w:val="-7"/>
        </w:rPr>
        <w:t> </w:t>
      </w:r>
      <w:r>
        <w:rPr>
          <w:smallCaps/>
        </w:rPr>
        <w:t>Prior</w:t>
      </w:r>
      <w:r>
        <w:rPr>
          <w:smallCaps/>
          <w:spacing w:val="-6"/>
        </w:rPr>
        <w:t> </w:t>
      </w:r>
      <w:r>
        <w:rPr>
          <w:smallCaps/>
        </w:rPr>
        <w:t>Meeting</w:t>
      </w:r>
      <w:r>
        <w:rPr>
          <w:smallCaps/>
          <w:spacing w:val="-8"/>
        </w:rPr>
        <w:t> </w:t>
      </w:r>
      <w:r>
        <w:rPr>
          <w:smallCaps/>
        </w:rPr>
        <w:t>Minute</w:t>
      </w:r>
      <w:r>
        <w:rPr>
          <w:smallCaps/>
          <w:spacing w:val="-6"/>
        </w:rPr>
        <w:t> </w:t>
      </w:r>
      <w:r>
        <w:rPr>
          <w:smallCaps/>
          <w:spacing w:val="-2"/>
        </w:rPr>
        <w:t>[VOTE]</w:t>
      </w:r>
    </w:p>
    <w:p>
      <w:pPr>
        <w:pStyle w:val="BodyText"/>
        <w:spacing w:before="57"/>
        <w:rPr>
          <w:b/>
          <w:sz w:val="19"/>
        </w:rPr>
      </w:pPr>
    </w:p>
    <w:p>
      <w:pPr>
        <w:pStyle w:val="BodyText"/>
      </w:pPr>
      <w:r>
        <w:rPr/>
        <w:t>Ms.</w:t>
      </w:r>
      <w:r>
        <w:rPr>
          <w:spacing w:val="-4"/>
        </w:rPr>
        <w:t> </w:t>
      </w:r>
      <w:r>
        <w:rPr/>
        <w:t>Donohue</w:t>
      </w:r>
      <w:r>
        <w:rPr>
          <w:spacing w:val="-4"/>
        </w:rPr>
        <w:t> </w:t>
      </w:r>
      <w:r>
        <w:rPr/>
        <w:t>started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welcoming</w:t>
      </w:r>
      <w:r>
        <w:rPr>
          <w:spacing w:val="-2"/>
        </w:rPr>
        <w:t> </w:t>
      </w:r>
      <w:r>
        <w:rPr/>
        <w:t>Ms.</w:t>
      </w:r>
      <w:r>
        <w:rPr>
          <w:spacing w:val="-4"/>
        </w:rPr>
        <w:t> </w:t>
      </w:r>
      <w:r>
        <w:rPr/>
        <w:t>Karen</w:t>
      </w:r>
      <w:r>
        <w:rPr>
          <w:spacing w:val="-4"/>
        </w:rPr>
        <w:t> </w:t>
      </w:r>
      <w:r>
        <w:rPr/>
        <w:t>Tseng,</w:t>
      </w:r>
      <w:r>
        <w:rPr>
          <w:spacing w:val="-1"/>
        </w:rPr>
        <w:t> </w:t>
      </w:r>
      <w:r>
        <w:rPr/>
        <w:t>designee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Secretary</w:t>
      </w:r>
      <w:r>
        <w:rPr>
          <w:spacing w:val="-2"/>
        </w:rPr>
        <w:t> </w:t>
      </w:r>
      <w:r>
        <w:rPr/>
        <w:t>Kate</w:t>
      </w:r>
      <w:r>
        <w:rPr>
          <w:spacing w:val="-4"/>
        </w:rPr>
        <w:t> </w:t>
      </w:r>
      <w:r>
        <w:rPr/>
        <w:t>Walsh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 Executive Office of Health and Human Services. Ms. Laura Adams also announced that she would be leaving the Oversight Council after this meeting. Ms. Donohue next called for a motion to approve the minutes from the October 12, 2023, meeting, which was followed by a formal roll call vote; the minutes were unanimously approved.</w:t>
      </w:r>
    </w:p>
    <w:p>
      <w:pPr>
        <w:pStyle w:val="BodyText"/>
        <w:spacing w:before="49"/>
      </w:pP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720"/>
        <w:jc w:val="left"/>
      </w:pPr>
      <w:r>
        <w:rPr>
          <w:smallCaps/>
        </w:rPr>
        <w:t>Health</w:t>
      </w:r>
      <w:r>
        <w:rPr>
          <w:smallCaps/>
          <w:spacing w:val="-7"/>
        </w:rPr>
        <w:t> </w:t>
      </w:r>
      <w:r>
        <w:rPr>
          <w:smallCaps/>
        </w:rPr>
        <w:t>Equity</w:t>
      </w:r>
      <w:r>
        <w:rPr>
          <w:smallCaps/>
          <w:spacing w:val="-7"/>
        </w:rPr>
        <w:t> </w:t>
      </w:r>
      <w:r>
        <w:rPr>
          <w:smallCaps/>
        </w:rPr>
        <w:t>5-Point</w:t>
      </w:r>
      <w:r>
        <w:rPr>
          <w:smallCaps/>
          <w:spacing w:val="-6"/>
        </w:rPr>
        <w:t> </w:t>
      </w:r>
      <w:r>
        <w:rPr>
          <w:smallCaps/>
          <w:spacing w:val="-4"/>
        </w:rPr>
        <w:t>Plan</w:t>
      </w:r>
    </w:p>
    <w:p>
      <w:pPr>
        <w:pStyle w:val="BodyText"/>
        <w:spacing w:before="54"/>
        <w:rPr>
          <w:b/>
          <w:sz w:val="19"/>
        </w:rPr>
      </w:pPr>
    </w:p>
    <w:p>
      <w:pPr>
        <w:pStyle w:val="BodyText"/>
        <w:ind w:right="108"/>
      </w:pPr>
      <w:r>
        <w:rPr>
          <w:color w:val="1A181A"/>
        </w:rPr>
        <w:t>Ms. Peters briefly introduced the next agenda item. Ms. Haley Farrar-Muir, Senior Manager of CHIA’s Research</w:t>
      </w:r>
      <w:r>
        <w:rPr>
          <w:color w:val="1A181A"/>
          <w:spacing w:val="-4"/>
        </w:rPr>
        <w:t> </w:t>
      </w:r>
      <w:r>
        <w:rPr>
          <w:color w:val="1A181A"/>
        </w:rPr>
        <w:t>Team,</w:t>
      </w:r>
      <w:r>
        <w:rPr>
          <w:color w:val="1A181A"/>
          <w:spacing w:val="-2"/>
        </w:rPr>
        <w:t> </w:t>
      </w:r>
      <w:r>
        <w:rPr>
          <w:color w:val="1A181A"/>
        </w:rPr>
        <w:t>presented</w:t>
      </w:r>
      <w:r>
        <w:rPr>
          <w:color w:val="1A181A"/>
          <w:spacing w:val="-2"/>
        </w:rPr>
        <w:t> </w:t>
      </w:r>
      <w:r>
        <w:rPr>
          <w:color w:val="1A181A"/>
        </w:rPr>
        <w:t>to</w:t>
      </w:r>
      <w:r>
        <w:rPr>
          <w:color w:val="1A181A"/>
          <w:spacing w:val="-5"/>
        </w:rPr>
        <w:t> </w:t>
      </w:r>
      <w:r>
        <w:rPr>
          <w:color w:val="1A181A"/>
        </w:rPr>
        <w:t>Council</w:t>
      </w:r>
      <w:r>
        <w:rPr>
          <w:color w:val="1A181A"/>
          <w:spacing w:val="-5"/>
        </w:rPr>
        <w:t> </w:t>
      </w:r>
      <w:r>
        <w:rPr>
          <w:color w:val="1A181A"/>
        </w:rPr>
        <w:t>members</w:t>
      </w:r>
      <w:r>
        <w:rPr>
          <w:color w:val="1A181A"/>
          <w:spacing w:val="-2"/>
        </w:rPr>
        <w:t> </w:t>
      </w:r>
      <w:r>
        <w:rPr>
          <w:color w:val="1A181A"/>
        </w:rPr>
        <w:t>a</w:t>
      </w:r>
      <w:r>
        <w:rPr>
          <w:color w:val="1A181A"/>
          <w:spacing w:val="-5"/>
        </w:rPr>
        <w:t> </w:t>
      </w:r>
      <w:r>
        <w:rPr>
          <w:color w:val="1A181A"/>
        </w:rPr>
        <w:t>detailed</w:t>
      </w:r>
      <w:r>
        <w:rPr>
          <w:color w:val="1A181A"/>
          <w:spacing w:val="-4"/>
        </w:rPr>
        <w:t> </w:t>
      </w:r>
      <w:r>
        <w:rPr>
          <w:color w:val="1A181A"/>
        </w:rPr>
        <w:t>update</w:t>
      </w:r>
      <w:r>
        <w:rPr>
          <w:color w:val="1A181A"/>
          <w:spacing w:val="-4"/>
        </w:rPr>
        <w:t> </w:t>
      </w:r>
      <w:r>
        <w:rPr>
          <w:color w:val="1A181A"/>
        </w:rPr>
        <w:t>on</w:t>
      </w:r>
      <w:r>
        <w:rPr>
          <w:color w:val="1A181A"/>
          <w:spacing w:val="-4"/>
        </w:rPr>
        <w:t> </w:t>
      </w:r>
      <w:r>
        <w:rPr>
          <w:color w:val="1A181A"/>
        </w:rPr>
        <w:t>CHIA’s</w:t>
      </w:r>
      <w:r>
        <w:rPr>
          <w:color w:val="1A181A"/>
          <w:spacing w:val="-3"/>
        </w:rPr>
        <w:t> </w:t>
      </w:r>
      <w:r>
        <w:rPr>
          <w:color w:val="1A181A"/>
        </w:rPr>
        <w:t>five-point</w:t>
      </w:r>
      <w:r>
        <w:rPr>
          <w:color w:val="1A181A"/>
          <w:spacing w:val="-4"/>
        </w:rPr>
        <w:t> </w:t>
      </w:r>
      <w:r>
        <w:rPr>
          <w:color w:val="1A181A"/>
        </w:rPr>
        <w:t>equity</w:t>
      </w:r>
      <w:r>
        <w:rPr>
          <w:color w:val="1A181A"/>
          <w:spacing w:val="-3"/>
        </w:rPr>
        <w:t> </w:t>
      </w:r>
      <w:r>
        <w:rPr>
          <w:color w:val="1A181A"/>
        </w:rPr>
        <w:t>plan. She walked through the agency’s plan, which includes incorporating an equity lens into existing CHIA analyses and metrics; developing new data streams for collecting demographic data from payers and providers; prioritizing new research and reporting in the identified equity areas for greater impact and utility;</w:t>
      </w:r>
      <w:r>
        <w:rPr>
          <w:color w:val="1A181A"/>
          <w:spacing w:val="-1"/>
        </w:rPr>
        <w:t> </w:t>
      </w:r>
      <w:r>
        <w:rPr>
          <w:color w:val="1A181A"/>
        </w:rPr>
        <w:t>implementing</w:t>
      </w:r>
      <w:r>
        <w:rPr>
          <w:color w:val="1A181A"/>
          <w:spacing w:val="-3"/>
        </w:rPr>
        <w:t> </w:t>
      </w:r>
      <w:r>
        <w:rPr>
          <w:color w:val="1A181A"/>
        </w:rPr>
        <w:t>new</w:t>
      </w:r>
      <w:r>
        <w:rPr>
          <w:color w:val="1A181A"/>
          <w:spacing w:val="-3"/>
        </w:rPr>
        <w:t> </w:t>
      </w:r>
      <w:r>
        <w:rPr>
          <w:color w:val="1A181A"/>
        </w:rPr>
        <w:t>communications</w:t>
      </w:r>
      <w:r>
        <w:rPr>
          <w:color w:val="1A181A"/>
          <w:spacing w:val="-2"/>
        </w:rPr>
        <w:t> </w:t>
      </w:r>
      <w:r>
        <w:rPr>
          <w:color w:val="1A181A"/>
        </w:rPr>
        <w:t>standards</w:t>
      </w:r>
      <w:r>
        <w:rPr>
          <w:color w:val="1A181A"/>
          <w:spacing w:val="-2"/>
        </w:rPr>
        <w:t> </w:t>
      </w:r>
      <w:r>
        <w:rPr>
          <w:color w:val="1A181A"/>
        </w:rPr>
        <w:t>to</w:t>
      </w:r>
      <w:r>
        <w:rPr>
          <w:color w:val="1A181A"/>
          <w:spacing w:val="-2"/>
        </w:rPr>
        <w:t> </w:t>
      </w:r>
      <w:r>
        <w:rPr>
          <w:color w:val="1A181A"/>
        </w:rPr>
        <w:t>amplify</w:t>
      </w:r>
      <w:r>
        <w:rPr>
          <w:color w:val="1A181A"/>
          <w:spacing w:val="-2"/>
        </w:rPr>
        <w:t> </w:t>
      </w:r>
      <w:r>
        <w:rPr>
          <w:color w:val="1A181A"/>
        </w:rPr>
        <w:t>the</w:t>
      </w:r>
      <w:r>
        <w:rPr>
          <w:color w:val="1A181A"/>
          <w:spacing w:val="-2"/>
        </w:rPr>
        <w:t> </w:t>
      </w:r>
      <w:r>
        <w:rPr>
          <w:color w:val="1A181A"/>
        </w:rPr>
        <w:t>impact</w:t>
      </w:r>
      <w:r>
        <w:rPr>
          <w:color w:val="1A181A"/>
          <w:spacing w:val="-3"/>
        </w:rPr>
        <w:t> </w:t>
      </w:r>
      <w:r>
        <w:rPr>
          <w:color w:val="1A181A"/>
        </w:rPr>
        <w:t>and</w:t>
      </w:r>
      <w:r>
        <w:rPr>
          <w:color w:val="1A181A"/>
          <w:spacing w:val="-3"/>
        </w:rPr>
        <w:t> </w:t>
      </w:r>
      <w:r>
        <w:rPr>
          <w:color w:val="1A181A"/>
        </w:rPr>
        <w:t>utility</w:t>
      </w:r>
      <w:r>
        <w:rPr>
          <w:color w:val="1A181A"/>
          <w:spacing w:val="-2"/>
        </w:rPr>
        <w:t> </w:t>
      </w:r>
      <w:r>
        <w:rPr>
          <w:color w:val="1A181A"/>
        </w:rPr>
        <w:t>of</w:t>
      </w:r>
      <w:r>
        <w:rPr>
          <w:color w:val="1A181A"/>
          <w:spacing w:val="-3"/>
        </w:rPr>
        <w:t> </w:t>
      </w:r>
      <w:r>
        <w:rPr>
          <w:color w:val="1A181A"/>
        </w:rPr>
        <w:t>CHIA’s</w:t>
      </w:r>
      <w:r>
        <w:rPr>
          <w:color w:val="1A181A"/>
          <w:spacing w:val="-2"/>
        </w:rPr>
        <w:t> </w:t>
      </w:r>
      <w:r>
        <w:rPr>
          <w:color w:val="1A181A"/>
        </w:rPr>
        <w:t>reporting and publications; and providing data and analytic support for ongoing health equity efforts.</w:t>
      </w:r>
    </w:p>
    <w:p>
      <w:pPr>
        <w:pStyle w:val="BodyText"/>
        <w:spacing w:before="1"/>
      </w:pPr>
    </w:p>
    <w:p>
      <w:pPr>
        <w:pStyle w:val="BodyText"/>
        <w:ind w:right="108"/>
      </w:pPr>
      <w:r>
        <w:rPr>
          <w:color w:val="1A181A"/>
        </w:rPr>
        <w:t>The</w:t>
      </w:r>
      <w:r>
        <w:rPr>
          <w:color w:val="1A181A"/>
          <w:spacing w:val="-5"/>
        </w:rPr>
        <w:t> </w:t>
      </w:r>
      <w:r>
        <w:rPr>
          <w:color w:val="1A181A"/>
        </w:rPr>
        <w:t>Council</w:t>
      </w:r>
      <w:r>
        <w:rPr>
          <w:color w:val="1A181A"/>
          <w:spacing w:val="-5"/>
        </w:rPr>
        <w:t> </w:t>
      </w:r>
      <w:r>
        <w:rPr>
          <w:color w:val="1A181A"/>
        </w:rPr>
        <w:t>was</w:t>
      </w:r>
      <w:r>
        <w:rPr>
          <w:color w:val="1A181A"/>
          <w:spacing w:val="-1"/>
        </w:rPr>
        <w:t> </w:t>
      </w:r>
      <w:r>
        <w:rPr>
          <w:color w:val="1A181A"/>
        </w:rPr>
        <w:t>enthusiastic</w:t>
      </w:r>
      <w:r>
        <w:rPr>
          <w:color w:val="1A181A"/>
          <w:spacing w:val="-3"/>
        </w:rPr>
        <w:t> </w:t>
      </w:r>
      <w:r>
        <w:rPr>
          <w:color w:val="1A181A"/>
        </w:rPr>
        <w:t>in</w:t>
      </w:r>
      <w:r>
        <w:rPr>
          <w:color w:val="1A181A"/>
          <w:spacing w:val="-2"/>
        </w:rPr>
        <w:t> </w:t>
      </w:r>
      <w:r>
        <w:rPr>
          <w:color w:val="1A181A"/>
        </w:rPr>
        <w:t>its</w:t>
      </w:r>
      <w:r>
        <w:rPr>
          <w:color w:val="1A181A"/>
          <w:spacing w:val="-3"/>
        </w:rPr>
        <w:t> </w:t>
      </w:r>
      <w:r>
        <w:rPr>
          <w:color w:val="1A181A"/>
        </w:rPr>
        <w:t>support</w:t>
      </w:r>
      <w:r>
        <w:rPr>
          <w:color w:val="1A181A"/>
          <w:spacing w:val="-4"/>
        </w:rPr>
        <w:t> </w:t>
      </w:r>
      <w:r>
        <w:rPr>
          <w:color w:val="1A181A"/>
        </w:rPr>
        <w:t>for</w:t>
      </w:r>
      <w:r>
        <w:rPr>
          <w:color w:val="1A181A"/>
          <w:spacing w:val="-1"/>
        </w:rPr>
        <w:t> </w:t>
      </w:r>
      <w:r>
        <w:rPr>
          <w:color w:val="1A181A"/>
        </w:rPr>
        <w:t>CHIA’s</w:t>
      </w:r>
      <w:r>
        <w:rPr>
          <w:color w:val="1A181A"/>
          <w:spacing w:val="-1"/>
        </w:rPr>
        <w:t> </w:t>
      </w:r>
      <w:r>
        <w:rPr>
          <w:color w:val="1A181A"/>
        </w:rPr>
        <w:t>equity</w:t>
      </w:r>
      <w:r>
        <w:rPr>
          <w:color w:val="1A181A"/>
          <w:spacing w:val="-3"/>
        </w:rPr>
        <w:t> </w:t>
      </w:r>
      <w:r>
        <w:rPr>
          <w:color w:val="1A181A"/>
        </w:rPr>
        <w:t>plan.</w:t>
      </w:r>
      <w:r>
        <w:rPr>
          <w:color w:val="1A181A"/>
          <w:spacing w:val="-2"/>
        </w:rPr>
        <w:t> </w:t>
      </w:r>
      <w:r>
        <w:rPr>
          <w:color w:val="1A181A"/>
        </w:rPr>
        <w:t>Council</w:t>
      </w:r>
      <w:r>
        <w:rPr>
          <w:color w:val="1A181A"/>
          <w:spacing w:val="-3"/>
        </w:rPr>
        <w:t> </w:t>
      </w:r>
      <w:r>
        <w:rPr>
          <w:color w:val="1A181A"/>
        </w:rPr>
        <w:t>members</w:t>
      </w:r>
      <w:r>
        <w:rPr>
          <w:color w:val="1A181A"/>
          <w:spacing w:val="-2"/>
        </w:rPr>
        <w:t> </w:t>
      </w:r>
      <w:r>
        <w:rPr>
          <w:color w:val="1A181A"/>
        </w:rPr>
        <w:t>discussed</w:t>
      </w:r>
      <w:r>
        <w:rPr>
          <w:color w:val="1A181A"/>
          <w:spacing w:val="-5"/>
        </w:rPr>
        <w:t> </w:t>
      </w:r>
      <w:r>
        <w:rPr>
          <w:color w:val="1A181A"/>
        </w:rPr>
        <w:t>the</w:t>
      </w:r>
      <w:r>
        <w:rPr>
          <w:color w:val="1A181A"/>
          <w:spacing w:val="-4"/>
        </w:rPr>
        <w:t> </w:t>
      </w:r>
      <w:r>
        <w:rPr>
          <w:color w:val="1A181A"/>
        </w:rPr>
        <w:t>plan to</w:t>
      </w:r>
      <w:r>
        <w:rPr>
          <w:color w:val="1A181A"/>
          <w:spacing w:val="-5"/>
        </w:rPr>
        <w:t> </w:t>
      </w:r>
      <w:r>
        <w:rPr>
          <w:color w:val="1A181A"/>
        </w:rPr>
        <w:t>prioritize</w:t>
      </w:r>
      <w:r>
        <w:rPr>
          <w:color w:val="1A181A"/>
          <w:spacing w:val="-4"/>
        </w:rPr>
        <w:t> </w:t>
      </w:r>
      <w:r>
        <w:rPr>
          <w:color w:val="1A181A"/>
        </w:rPr>
        <w:t>collecting</w:t>
      </w:r>
      <w:r>
        <w:rPr>
          <w:color w:val="1A181A"/>
          <w:spacing w:val="-3"/>
        </w:rPr>
        <w:t> </w:t>
      </w:r>
      <w:r>
        <w:rPr>
          <w:color w:val="1A181A"/>
        </w:rPr>
        <w:t>demographic</w:t>
      </w:r>
      <w:r>
        <w:rPr>
          <w:color w:val="1A181A"/>
          <w:spacing w:val="-3"/>
        </w:rPr>
        <w:t> </w:t>
      </w:r>
      <w:r>
        <w:rPr>
          <w:color w:val="1A181A"/>
        </w:rPr>
        <w:t>data</w:t>
      </w:r>
      <w:r>
        <w:rPr>
          <w:color w:val="1A181A"/>
          <w:spacing w:val="-4"/>
        </w:rPr>
        <w:t> </w:t>
      </w:r>
      <w:r>
        <w:rPr>
          <w:color w:val="1A181A"/>
        </w:rPr>
        <w:t>from</w:t>
      </w:r>
      <w:r>
        <w:rPr>
          <w:color w:val="1A181A"/>
          <w:spacing w:val="-4"/>
        </w:rPr>
        <w:t> </w:t>
      </w:r>
      <w:r>
        <w:rPr>
          <w:color w:val="1A181A"/>
        </w:rPr>
        <w:t>Massachusetts</w:t>
      </w:r>
      <w:r>
        <w:rPr>
          <w:color w:val="1A181A"/>
          <w:spacing w:val="-3"/>
        </w:rPr>
        <w:t> </w:t>
      </w:r>
      <w:r>
        <w:rPr>
          <w:color w:val="1A181A"/>
        </w:rPr>
        <w:t>payers</w:t>
      </w:r>
      <w:r>
        <w:rPr>
          <w:color w:val="1A181A"/>
          <w:spacing w:val="-3"/>
        </w:rPr>
        <w:t> </w:t>
      </w:r>
      <w:r>
        <w:rPr>
          <w:color w:val="1A181A"/>
        </w:rPr>
        <w:t>and</w:t>
      </w:r>
      <w:r>
        <w:rPr>
          <w:color w:val="1A181A"/>
          <w:spacing w:val="-4"/>
        </w:rPr>
        <w:t> </w:t>
      </w:r>
      <w:r>
        <w:rPr>
          <w:color w:val="1A181A"/>
        </w:rPr>
        <w:t>the</w:t>
      </w:r>
      <w:r>
        <w:rPr>
          <w:color w:val="1A181A"/>
          <w:spacing w:val="-3"/>
        </w:rPr>
        <w:t> </w:t>
      </w:r>
      <w:r>
        <w:rPr>
          <w:color w:val="1A181A"/>
        </w:rPr>
        <w:t>importance</w:t>
      </w:r>
      <w:r>
        <w:rPr>
          <w:color w:val="1A181A"/>
          <w:spacing w:val="-4"/>
        </w:rPr>
        <w:t> </w:t>
      </w:r>
      <w:r>
        <w:rPr>
          <w:color w:val="1A181A"/>
        </w:rPr>
        <w:t>of</w:t>
      </w:r>
      <w:r>
        <w:rPr>
          <w:color w:val="1A181A"/>
          <w:spacing w:val="-4"/>
        </w:rPr>
        <w:t> </w:t>
      </w:r>
      <w:r>
        <w:rPr>
          <w:color w:val="1A181A"/>
        </w:rPr>
        <w:t>coordinating data</w:t>
      </w:r>
      <w:r>
        <w:rPr>
          <w:color w:val="1A181A"/>
          <w:spacing w:val="-5"/>
        </w:rPr>
        <w:t> </w:t>
      </w:r>
      <w:r>
        <w:rPr>
          <w:color w:val="1A181A"/>
        </w:rPr>
        <w:t>collection</w:t>
      </w:r>
      <w:r>
        <w:rPr>
          <w:color w:val="1A181A"/>
          <w:spacing w:val="-4"/>
        </w:rPr>
        <w:t> </w:t>
      </w:r>
      <w:r>
        <w:rPr>
          <w:color w:val="1A181A"/>
        </w:rPr>
        <w:t>standards</w:t>
      </w:r>
      <w:r>
        <w:rPr>
          <w:color w:val="1A181A"/>
          <w:spacing w:val="-3"/>
        </w:rPr>
        <w:t> </w:t>
      </w:r>
      <w:r>
        <w:rPr>
          <w:color w:val="1A181A"/>
        </w:rPr>
        <w:t>and</w:t>
      </w:r>
      <w:r>
        <w:rPr>
          <w:color w:val="1A181A"/>
          <w:spacing w:val="-5"/>
        </w:rPr>
        <w:t> </w:t>
      </w:r>
      <w:r>
        <w:rPr>
          <w:color w:val="1A181A"/>
        </w:rPr>
        <w:t>procedures</w:t>
      </w:r>
      <w:r>
        <w:rPr>
          <w:color w:val="1A181A"/>
          <w:spacing w:val="-3"/>
        </w:rPr>
        <w:t> </w:t>
      </w:r>
      <w:r>
        <w:rPr>
          <w:color w:val="1A181A"/>
        </w:rPr>
        <w:t>with</w:t>
      </w:r>
      <w:r>
        <w:rPr>
          <w:color w:val="1A181A"/>
          <w:spacing w:val="-2"/>
        </w:rPr>
        <w:t> </w:t>
      </w:r>
      <w:r>
        <w:rPr>
          <w:color w:val="1A181A"/>
        </w:rPr>
        <w:t>other</w:t>
      </w:r>
      <w:r>
        <w:rPr>
          <w:color w:val="1A181A"/>
          <w:spacing w:val="-3"/>
        </w:rPr>
        <w:t> </w:t>
      </w:r>
      <w:r>
        <w:rPr>
          <w:color w:val="1A181A"/>
        </w:rPr>
        <w:t>state</w:t>
      </w:r>
      <w:r>
        <w:rPr>
          <w:color w:val="1A181A"/>
          <w:spacing w:val="-4"/>
        </w:rPr>
        <w:t> </w:t>
      </w:r>
      <w:r>
        <w:rPr>
          <w:color w:val="1A181A"/>
        </w:rPr>
        <w:t>agencies</w:t>
      </w:r>
      <w:r>
        <w:rPr>
          <w:color w:val="1A181A"/>
          <w:spacing w:val="-3"/>
        </w:rPr>
        <w:t> </w:t>
      </w:r>
      <w:r>
        <w:rPr>
          <w:color w:val="1A181A"/>
        </w:rPr>
        <w:t>to</w:t>
      </w:r>
      <w:r>
        <w:rPr>
          <w:color w:val="1A181A"/>
          <w:spacing w:val="-3"/>
        </w:rPr>
        <w:t> </w:t>
      </w:r>
      <w:r>
        <w:rPr>
          <w:color w:val="1A181A"/>
        </w:rPr>
        <w:t>avoid</w:t>
      </w:r>
      <w:r>
        <w:rPr>
          <w:color w:val="1A181A"/>
          <w:spacing w:val="-4"/>
        </w:rPr>
        <w:t> </w:t>
      </w:r>
      <w:r>
        <w:rPr>
          <w:color w:val="1A181A"/>
        </w:rPr>
        <w:t>conflicts</w:t>
      </w:r>
      <w:r>
        <w:rPr>
          <w:color w:val="1A181A"/>
          <w:spacing w:val="-3"/>
        </w:rPr>
        <w:t> </w:t>
      </w:r>
      <w:r>
        <w:rPr>
          <w:color w:val="1A181A"/>
        </w:rPr>
        <w:t>and</w:t>
      </w:r>
      <w:r>
        <w:rPr>
          <w:color w:val="1A181A"/>
          <w:spacing w:val="-4"/>
        </w:rPr>
        <w:t> </w:t>
      </w:r>
      <w:r>
        <w:rPr>
          <w:color w:val="1A181A"/>
        </w:rPr>
        <w:t>redundancies. The Council also briefly discussed in greater detail how best CHIA can release and publish reports and analyses using this data.</w:t>
      </w:r>
    </w:p>
    <w:p>
      <w:pPr>
        <w:pStyle w:val="BodyText"/>
        <w:spacing w:before="47"/>
      </w:pP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720"/>
        <w:jc w:val="left"/>
      </w:pPr>
      <w:r>
        <w:rPr>
          <w:smallCaps/>
        </w:rPr>
        <w:t>Other</w:t>
      </w:r>
      <w:r>
        <w:rPr>
          <w:smallCaps/>
          <w:spacing w:val="-10"/>
        </w:rPr>
        <w:t> </w:t>
      </w:r>
      <w:r>
        <w:rPr>
          <w:smallCaps/>
        </w:rPr>
        <w:t>CHIA</w:t>
      </w:r>
      <w:r>
        <w:rPr>
          <w:smallCaps/>
          <w:spacing w:val="-14"/>
        </w:rPr>
        <w:t> </w:t>
      </w:r>
      <w:r>
        <w:rPr>
          <w:smallCaps/>
        </w:rPr>
        <w:t>Priority</w:t>
      </w:r>
      <w:r>
        <w:rPr>
          <w:smallCaps/>
          <w:spacing w:val="-5"/>
        </w:rPr>
        <w:t> </w:t>
      </w:r>
      <w:r>
        <w:rPr>
          <w:smallCaps/>
          <w:spacing w:val="-4"/>
        </w:rPr>
        <w:t>Areas</w:t>
      </w:r>
    </w:p>
    <w:p>
      <w:pPr>
        <w:pStyle w:val="BodyText"/>
        <w:spacing w:before="56"/>
        <w:rPr>
          <w:b/>
          <w:sz w:val="19"/>
        </w:rPr>
      </w:pPr>
    </w:p>
    <w:p>
      <w:pPr>
        <w:pStyle w:val="BodyText"/>
      </w:pPr>
      <w:r>
        <w:rPr>
          <w:color w:val="1A181A"/>
        </w:rPr>
        <w:t>Ms. Peters then provided brief updates on the Primary Care Dashboard and</w:t>
      </w:r>
      <w:r>
        <w:rPr>
          <w:color w:val="1A181A"/>
          <w:spacing w:val="-1"/>
        </w:rPr>
        <w:t> </w:t>
      </w:r>
      <w:r>
        <w:rPr>
          <w:color w:val="1A181A"/>
        </w:rPr>
        <w:t>the</w:t>
      </w:r>
      <w:r>
        <w:rPr>
          <w:color w:val="1A181A"/>
          <w:spacing w:val="-1"/>
        </w:rPr>
        <w:t> </w:t>
      </w:r>
      <w:r>
        <w:rPr>
          <w:color w:val="1A181A"/>
        </w:rPr>
        <w:t>publication of the Health Care Workforce Survey results. She noted that the Primary Care Dashboard and initial results from the survey</w:t>
      </w:r>
      <w:r>
        <w:rPr>
          <w:color w:val="1A181A"/>
          <w:spacing w:val="-3"/>
        </w:rPr>
        <w:t> </w:t>
      </w:r>
      <w:r>
        <w:rPr>
          <w:color w:val="1A181A"/>
        </w:rPr>
        <w:t>will</w:t>
      </w:r>
      <w:r>
        <w:rPr>
          <w:color w:val="1A181A"/>
          <w:spacing w:val="-3"/>
        </w:rPr>
        <w:t> </w:t>
      </w:r>
      <w:r>
        <w:rPr>
          <w:color w:val="1A181A"/>
        </w:rPr>
        <w:t>be</w:t>
      </w:r>
      <w:r>
        <w:rPr>
          <w:color w:val="1A181A"/>
          <w:spacing w:val="-3"/>
        </w:rPr>
        <w:t> </w:t>
      </w:r>
      <w:r>
        <w:rPr>
          <w:color w:val="1A181A"/>
        </w:rPr>
        <w:t>published</w:t>
      </w:r>
      <w:r>
        <w:rPr>
          <w:color w:val="1A181A"/>
          <w:spacing w:val="-3"/>
        </w:rPr>
        <w:t> </w:t>
      </w:r>
      <w:r>
        <w:rPr>
          <w:color w:val="1A181A"/>
        </w:rPr>
        <w:t>in</w:t>
      </w:r>
      <w:r>
        <w:rPr>
          <w:color w:val="1A181A"/>
          <w:spacing w:val="-4"/>
        </w:rPr>
        <w:t> </w:t>
      </w:r>
      <w:r>
        <w:rPr>
          <w:color w:val="1A181A"/>
        </w:rPr>
        <w:t>the</w:t>
      </w:r>
      <w:r>
        <w:rPr>
          <w:color w:val="1A181A"/>
          <w:spacing w:val="-5"/>
        </w:rPr>
        <w:t> </w:t>
      </w:r>
      <w:r>
        <w:rPr>
          <w:color w:val="1A181A"/>
        </w:rPr>
        <w:t>spring.</w:t>
      </w:r>
      <w:r>
        <w:rPr>
          <w:color w:val="1A181A"/>
          <w:spacing w:val="-1"/>
        </w:rPr>
        <w:t> </w:t>
      </w:r>
      <w:r>
        <w:rPr>
          <w:color w:val="1A181A"/>
        </w:rPr>
        <w:t>Council</w:t>
      </w:r>
      <w:r>
        <w:rPr>
          <w:color w:val="1A181A"/>
          <w:spacing w:val="-3"/>
        </w:rPr>
        <w:t> </w:t>
      </w:r>
      <w:r>
        <w:rPr>
          <w:color w:val="1A181A"/>
        </w:rPr>
        <w:t>members</w:t>
      </w:r>
      <w:r>
        <w:rPr>
          <w:color w:val="1A181A"/>
          <w:spacing w:val="-3"/>
        </w:rPr>
        <w:t> </w:t>
      </w:r>
      <w:r>
        <w:rPr>
          <w:color w:val="1A181A"/>
        </w:rPr>
        <w:t>continued</w:t>
      </w:r>
      <w:r>
        <w:rPr>
          <w:color w:val="1A181A"/>
          <w:spacing w:val="-2"/>
        </w:rPr>
        <w:t> </w:t>
      </w:r>
      <w:r>
        <w:rPr>
          <w:color w:val="1A181A"/>
        </w:rPr>
        <w:t>to</w:t>
      </w:r>
      <w:r>
        <w:rPr>
          <w:color w:val="1A181A"/>
          <w:spacing w:val="-5"/>
        </w:rPr>
        <w:t> </w:t>
      </w:r>
      <w:r>
        <w:rPr>
          <w:color w:val="1A181A"/>
        </w:rPr>
        <w:t>be</w:t>
      </w:r>
      <w:r>
        <w:rPr>
          <w:color w:val="1A181A"/>
          <w:spacing w:val="-4"/>
        </w:rPr>
        <w:t> </w:t>
      </w:r>
      <w:r>
        <w:rPr>
          <w:color w:val="1A181A"/>
        </w:rPr>
        <w:t>interested</w:t>
      </w:r>
      <w:r>
        <w:rPr>
          <w:color w:val="1A181A"/>
          <w:spacing w:val="-4"/>
        </w:rPr>
        <w:t> </w:t>
      </w:r>
      <w:r>
        <w:rPr>
          <w:color w:val="1A181A"/>
        </w:rPr>
        <w:t>in</w:t>
      </w:r>
      <w:r>
        <w:rPr>
          <w:color w:val="1A181A"/>
          <w:spacing w:val="-2"/>
        </w:rPr>
        <w:t> </w:t>
      </w:r>
      <w:r>
        <w:rPr>
          <w:color w:val="1A181A"/>
        </w:rPr>
        <w:t>the</w:t>
      </w:r>
      <w:r>
        <w:rPr>
          <w:color w:val="1A181A"/>
          <w:spacing w:val="-2"/>
        </w:rPr>
        <w:t> </w:t>
      </w:r>
      <w:r>
        <w:rPr>
          <w:color w:val="1A181A"/>
        </w:rPr>
        <w:t>release</w:t>
      </w:r>
      <w:r>
        <w:rPr>
          <w:color w:val="1A181A"/>
          <w:spacing w:val="-4"/>
        </w:rPr>
        <w:t> </w:t>
      </w:r>
      <w:r>
        <w:rPr>
          <w:color w:val="1A181A"/>
        </w:rPr>
        <w:t>of</w:t>
      </w:r>
      <w:r>
        <w:rPr>
          <w:color w:val="1A181A"/>
          <w:spacing w:val="-4"/>
        </w:rPr>
        <w:t> </w:t>
      </w:r>
      <w:r>
        <w:rPr>
          <w:color w:val="1A181A"/>
        </w:rPr>
        <w:t>these two publications.</w:t>
      </w:r>
    </w:p>
    <w:p>
      <w:pPr>
        <w:pStyle w:val="BodyText"/>
        <w:spacing w:before="46"/>
      </w:pP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720"/>
        <w:jc w:val="left"/>
      </w:pPr>
      <w:r>
        <w:rPr>
          <w:smallCaps/>
        </w:rPr>
        <w:t>CHIA</w:t>
      </w:r>
      <w:r>
        <w:rPr>
          <w:smallCaps/>
          <w:spacing w:val="-14"/>
        </w:rPr>
        <w:t> </w:t>
      </w:r>
      <w:r>
        <w:rPr>
          <w:smallCaps/>
        </w:rPr>
        <w:t>Strategic</w:t>
      </w:r>
      <w:r>
        <w:rPr>
          <w:smallCaps/>
          <w:spacing w:val="-12"/>
        </w:rPr>
        <w:t> </w:t>
      </w:r>
      <w:r>
        <w:rPr>
          <w:smallCaps/>
        </w:rPr>
        <w:t>Plan</w:t>
      </w:r>
      <w:r>
        <w:rPr>
          <w:smallCaps/>
          <w:spacing w:val="-8"/>
        </w:rPr>
        <w:t> </w:t>
      </w:r>
      <w:r>
        <w:rPr>
          <w:smallCaps/>
          <w:spacing w:val="-2"/>
        </w:rPr>
        <w:t>Update</w:t>
      </w:r>
    </w:p>
    <w:p>
      <w:pPr>
        <w:pStyle w:val="BodyText"/>
        <w:spacing w:before="56"/>
        <w:rPr>
          <w:b/>
          <w:sz w:val="19"/>
        </w:rPr>
      </w:pPr>
    </w:p>
    <w:p>
      <w:pPr>
        <w:pStyle w:val="BodyText"/>
        <w:ind w:right="23"/>
      </w:pPr>
      <w:r>
        <w:rPr>
          <w:color w:val="1A181A"/>
        </w:rPr>
        <w:t>Mr. Andrew Jackmauh, CHIA’s Chief of Staff, then walked the Council through the implementation of the agency’s strategic plan. Mr. Jackmauh began by recapping strategic planning efforts to date: executive staff worked to develop a plan with four primary goals, each with nested objectives; the Council provided feedback that was incorporated into the plan; and a list of 60 tactics was developed to guide implementation of the plan. The group discussed progress on each of the four goals. CHIA sought</w:t>
      </w:r>
      <w:r>
        <w:rPr>
          <w:color w:val="1A181A"/>
          <w:spacing w:val="40"/>
        </w:rPr>
        <w:t> </w:t>
      </w:r>
      <w:r>
        <w:rPr>
          <w:color w:val="1A181A"/>
        </w:rPr>
        <w:t>Council feedback in two areas, including the agency’s communications plan and the usability and accessibility of existing datasets. There was some discussion on how to effectively convey CHIA’s brand. Council</w:t>
      </w:r>
      <w:r>
        <w:rPr>
          <w:color w:val="1A181A"/>
          <w:spacing w:val="-4"/>
        </w:rPr>
        <w:t> </w:t>
      </w:r>
      <w:r>
        <w:rPr>
          <w:color w:val="1A181A"/>
        </w:rPr>
        <w:t>members</w:t>
      </w:r>
      <w:r>
        <w:rPr>
          <w:color w:val="1A181A"/>
          <w:spacing w:val="-4"/>
        </w:rPr>
        <w:t> </w:t>
      </w:r>
      <w:r>
        <w:rPr>
          <w:color w:val="1A181A"/>
        </w:rPr>
        <w:t>also</w:t>
      </w:r>
      <w:r>
        <w:rPr>
          <w:color w:val="1A181A"/>
          <w:spacing w:val="-3"/>
        </w:rPr>
        <w:t> </w:t>
      </w:r>
      <w:r>
        <w:rPr>
          <w:color w:val="1A181A"/>
        </w:rPr>
        <w:t>considered</w:t>
      </w:r>
      <w:r>
        <w:rPr>
          <w:color w:val="1A181A"/>
          <w:spacing w:val="-4"/>
        </w:rPr>
        <w:t> </w:t>
      </w:r>
      <w:r>
        <w:rPr>
          <w:color w:val="1A181A"/>
        </w:rPr>
        <w:t>the</w:t>
      </w:r>
      <w:r>
        <w:rPr>
          <w:color w:val="1A181A"/>
          <w:spacing w:val="-4"/>
        </w:rPr>
        <w:t> </w:t>
      </w:r>
      <w:r>
        <w:rPr>
          <w:color w:val="1A181A"/>
        </w:rPr>
        <w:t>merits</w:t>
      </w:r>
      <w:r>
        <w:rPr>
          <w:color w:val="1A181A"/>
          <w:spacing w:val="-4"/>
        </w:rPr>
        <w:t> </w:t>
      </w:r>
      <w:r>
        <w:rPr>
          <w:color w:val="1A181A"/>
        </w:rPr>
        <w:t>and</w:t>
      </w:r>
      <w:r>
        <w:rPr>
          <w:color w:val="1A181A"/>
          <w:spacing w:val="-5"/>
        </w:rPr>
        <w:t> </w:t>
      </w:r>
      <w:r>
        <w:rPr>
          <w:color w:val="1A181A"/>
        </w:rPr>
        <w:t>potential</w:t>
      </w:r>
      <w:r>
        <w:rPr>
          <w:color w:val="1A181A"/>
          <w:spacing w:val="-5"/>
        </w:rPr>
        <w:t> </w:t>
      </w:r>
      <w:r>
        <w:rPr>
          <w:color w:val="1A181A"/>
        </w:rPr>
        <w:t>drawbacks</w:t>
      </w:r>
      <w:r>
        <w:rPr>
          <w:color w:val="1A181A"/>
          <w:spacing w:val="-4"/>
        </w:rPr>
        <w:t> </w:t>
      </w:r>
      <w:r>
        <w:rPr>
          <w:color w:val="1A181A"/>
        </w:rPr>
        <w:t>of</w:t>
      </w:r>
      <w:r>
        <w:rPr>
          <w:color w:val="1A181A"/>
          <w:spacing w:val="-5"/>
        </w:rPr>
        <w:t> </w:t>
      </w:r>
      <w:r>
        <w:rPr>
          <w:color w:val="1A181A"/>
        </w:rPr>
        <w:t>CHIA</w:t>
      </w:r>
      <w:r>
        <w:rPr>
          <w:color w:val="1A181A"/>
          <w:spacing w:val="-3"/>
        </w:rPr>
        <w:t> </w:t>
      </w:r>
      <w:r>
        <w:rPr>
          <w:color w:val="1A181A"/>
        </w:rPr>
        <w:t>being</w:t>
      </w:r>
      <w:r>
        <w:rPr>
          <w:color w:val="1A181A"/>
          <w:spacing w:val="-4"/>
        </w:rPr>
        <w:t> </w:t>
      </w:r>
      <w:r>
        <w:rPr>
          <w:color w:val="1A181A"/>
        </w:rPr>
        <w:t>more</w:t>
      </w:r>
      <w:r>
        <w:rPr>
          <w:color w:val="1A181A"/>
          <w:spacing w:val="-5"/>
        </w:rPr>
        <w:t> </w:t>
      </w:r>
      <w:r>
        <w:rPr>
          <w:color w:val="1A181A"/>
        </w:rPr>
        <w:t>visible</w:t>
      </w:r>
      <w:r>
        <w:rPr>
          <w:color w:val="1A181A"/>
          <w:spacing w:val="-3"/>
        </w:rPr>
        <w:t> </w:t>
      </w:r>
      <w:r>
        <w:rPr>
          <w:color w:val="1A181A"/>
        </w:rPr>
        <w:t>in</w:t>
      </w:r>
      <w:r>
        <w:rPr>
          <w:color w:val="1A181A"/>
          <w:spacing w:val="-3"/>
        </w:rPr>
        <w:t> </w:t>
      </w:r>
      <w:r>
        <w:rPr>
          <w:color w:val="1A181A"/>
        </w:rPr>
        <w:t>policy discussions. The Council also reviewed how best CHIA can leverage and use artificial intelligence in its </w:t>
      </w:r>
      <w:r>
        <w:rPr>
          <w:color w:val="1A181A"/>
          <w:spacing w:val="-2"/>
        </w:rPr>
        <w:t>work.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28" w:footer="309" w:top="1340" w:bottom="500" w:left="1440" w:right="1440"/>
          <w:pgNumType w:start="1"/>
        </w:sectPr>
      </w:pPr>
    </w:p>
    <w:p>
      <w:pPr>
        <w:pStyle w:val="BodyText"/>
        <w:spacing w:before="82"/>
      </w:pPr>
      <w:r>
        <w:rPr>
          <w:color w:val="1A181A"/>
        </w:rPr>
        <w:t>Mr. Jackmauh closed his presentation with a brief explanation of the next steps in the strategic plan implementation.</w:t>
      </w:r>
      <w:r>
        <w:rPr>
          <w:color w:val="1A181A"/>
          <w:spacing w:val="-4"/>
        </w:rPr>
        <w:t> </w:t>
      </w:r>
      <w:r>
        <w:rPr>
          <w:color w:val="1A181A"/>
        </w:rPr>
        <w:t>The</w:t>
      </w:r>
      <w:r>
        <w:rPr>
          <w:color w:val="1A181A"/>
          <w:spacing w:val="-5"/>
        </w:rPr>
        <w:t> </w:t>
      </w:r>
      <w:r>
        <w:rPr>
          <w:color w:val="1A181A"/>
        </w:rPr>
        <w:t>first</w:t>
      </w:r>
      <w:r>
        <w:rPr>
          <w:color w:val="1A181A"/>
          <w:spacing w:val="-4"/>
        </w:rPr>
        <w:t> </w:t>
      </w:r>
      <w:r>
        <w:rPr>
          <w:color w:val="1A181A"/>
        </w:rPr>
        <w:t>phase</w:t>
      </w:r>
      <w:r>
        <w:rPr>
          <w:color w:val="1A181A"/>
          <w:spacing w:val="-4"/>
        </w:rPr>
        <w:t> </w:t>
      </w:r>
      <w:r>
        <w:rPr>
          <w:color w:val="1A181A"/>
        </w:rPr>
        <w:t>of</w:t>
      </w:r>
      <w:r>
        <w:rPr>
          <w:color w:val="1A181A"/>
          <w:spacing w:val="-2"/>
        </w:rPr>
        <w:t> </w:t>
      </w:r>
      <w:r>
        <w:rPr>
          <w:color w:val="1A181A"/>
        </w:rPr>
        <w:t>the</w:t>
      </w:r>
      <w:r>
        <w:rPr>
          <w:color w:val="1A181A"/>
          <w:spacing w:val="-2"/>
        </w:rPr>
        <w:t> </w:t>
      </w:r>
      <w:r>
        <w:rPr>
          <w:color w:val="1A181A"/>
        </w:rPr>
        <w:t>strategic</w:t>
      </w:r>
      <w:r>
        <w:rPr>
          <w:color w:val="1A181A"/>
          <w:spacing w:val="-3"/>
        </w:rPr>
        <w:t> </w:t>
      </w:r>
      <w:r>
        <w:rPr>
          <w:color w:val="1A181A"/>
        </w:rPr>
        <w:t>plan</w:t>
      </w:r>
      <w:r>
        <w:rPr>
          <w:color w:val="1A181A"/>
          <w:spacing w:val="-3"/>
        </w:rPr>
        <w:t> </w:t>
      </w:r>
      <w:r>
        <w:rPr>
          <w:color w:val="1A181A"/>
        </w:rPr>
        <w:t>is expected</w:t>
      </w:r>
      <w:r>
        <w:rPr>
          <w:color w:val="1A181A"/>
          <w:spacing w:val="-2"/>
        </w:rPr>
        <w:t> </w:t>
      </w:r>
      <w:r>
        <w:rPr>
          <w:color w:val="1A181A"/>
        </w:rPr>
        <w:t>to conclude</w:t>
      </w:r>
      <w:r>
        <w:rPr>
          <w:color w:val="1A181A"/>
          <w:spacing w:val="-3"/>
        </w:rPr>
        <w:t> </w:t>
      </w:r>
      <w:r>
        <w:rPr>
          <w:color w:val="1A181A"/>
        </w:rPr>
        <w:t>at</w:t>
      </w:r>
      <w:r>
        <w:rPr>
          <w:color w:val="1A181A"/>
          <w:spacing w:val="-2"/>
        </w:rPr>
        <w:t> </w:t>
      </w:r>
      <w:r>
        <w:rPr>
          <w:color w:val="1A181A"/>
        </w:rPr>
        <w:t>the</w:t>
      </w:r>
      <w:r>
        <w:rPr>
          <w:color w:val="1A181A"/>
          <w:spacing w:val="-4"/>
        </w:rPr>
        <w:t> </w:t>
      </w:r>
      <w:r>
        <w:rPr>
          <w:color w:val="1A181A"/>
        </w:rPr>
        <w:t>end</w:t>
      </w:r>
      <w:r>
        <w:rPr>
          <w:color w:val="1A181A"/>
          <w:spacing w:val="-4"/>
        </w:rPr>
        <w:t> </w:t>
      </w:r>
      <w:r>
        <w:rPr>
          <w:color w:val="1A181A"/>
        </w:rPr>
        <w:t>of</w:t>
      </w:r>
      <w:r>
        <w:rPr>
          <w:color w:val="1A181A"/>
          <w:spacing w:val="-2"/>
        </w:rPr>
        <w:t> </w:t>
      </w:r>
      <w:r>
        <w:rPr>
          <w:color w:val="1A181A"/>
        </w:rPr>
        <w:t>2024,</w:t>
      </w:r>
      <w:r>
        <w:rPr>
          <w:color w:val="1A181A"/>
          <w:spacing w:val="-4"/>
        </w:rPr>
        <w:t> </w:t>
      </w:r>
      <w:r>
        <w:rPr>
          <w:color w:val="1A181A"/>
        </w:rPr>
        <w:t>when CHIA will meet with the Council again to get their feedback on how best to approach the next phase.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720"/>
        <w:jc w:val="left"/>
      </w:pPr>
      <w:r>
        <w:rPr>
          <w:smallCaps/>
        </w:rPr>
        <w:t>Executive</w:t>
      </w:r>
      <w:r>
        <w:rPr>
          <w:smallCaps/>
          <w:spacing w:val="-11"/>
        </w:rPr>
        <w:t> </w:t>
      </w:r>
      <w:r>
        <w:rPr>
          <w:smallCaps/>
        </w:rPr>
        <w:t>Director’s</w:t>
      </w:r>
      <w:r>
        <w:rPr>
          <w:smallCaps/>
          <w:spacing w:val="-12"/>
        </w:rPr>
        <w:t> </w:t>
      </w:r>
      <w:r>
        <w:rPr>
          <w:smallCaps/>
          <w:spacing w:val="-2"/>
        </w:rPr>
        <w:t>Report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1"/>
      </w:pPr>
      <w:r>
        <w:rPr/>
        <w:t>To</w:t>
      </w:r>
      <w:r>
        <w:rPr>
          <w:spacing w:val="-5"/>
        </w:rPr>
        <w:t> </w:t>
      </w:r>
      <w:r>
        <w:rPr/>
        <w:t>conclude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meeting,</w:t>
      </w:r>
      <w:r>
        <w:rPr>
          <w:spacing w:val="-3"/>
        </w:rPr>
        <w:t> </w:t>
      </w:r>
      <w:r>
        <w:rPr/>
        <w:t>Ms.</w:t>
      </w:r>
      <w:r>
        <w:rPr>
          <w:spacing w:val="-4"/>
        </w:rPr>
        <w:t> </w:t>
      </w:r>
      <w:r>
        <w:rPr/>
        <w:t>Peters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brief</w:t>
      </w:r>
      <w:r>
        <w:rPr>
          <w:spacing w:val="-3"/>
        </w:rPr>
        <w:t> </w:t>
      </w:r>
      <w:r>
        <w:rPr/>
        <w:t>updates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MassHealth</w:t>
      </w:r>
      <w:r>
        <w:rPr>
          <w:spacing w:val="-2"/>
        </w:rPr>
        <w:t> </w:t>
      </w:r>
      <w:r>
        <w:rPr/>
        <w:t>EHRD</w:t>
      </w:r>
      <w:r>
        <w:rPr>
          <w:spacing w:val="-2"/>
        </w:rPr>
        <w:t> </w:t>
      </w:r>
      <w:r>
        <w:rPr/>
        <w:t>implementation</w:t>
      </w:r>
      <w:r>
        <w:rPr>
          <w:spacing w:val="-2"/>
        </w:rPr>
        <w:t> </w:t>
      </w:r>
      <w:r>
        <w:rPr/>
        <w:t>as well as the eAPCD. Ms. Emma McNamara, Deputy Chief of Staff, then walked through legislative and budget updates, noting that Governor Healey had just released her FY 2025 budget recommendations.</w:t>
      </w:r>
    </w:p>
    <w:p>
      <w:pPr>
        <w:pStyle w:val="BodyText"/>
        <w:spacing w:before="229"/>
      </w:pPr>
      <w:r>
        <w:rPr/>
        <w:t>Ms.</w:t>
      </w:r>
      <w:r>
        <w:rPr>
          <w:spacing w:val="-4"/>
        </w:rPr>
        <w:t> </w:t>
      </w:r>
      <w:r>
        <w:rPr/>
        <w:t>Peters</w:t>
      </w:r>
      <w:r>
        <w:rPr>
          <w:spacing w:val="-2"/>
        </w:rPr>
        <w:t> </w:t>
      </w:r>
      <w:r>
        <w:rPr/>
        <w:t>closed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highlighting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recent</w:t>
      </w:r>
      <w:r>
        <w:rPr>
          <w:spacing w:val="-3"/>
        </w:rPr>
        <w:t> </w:t>
      </w:r>
      <w:r>
        <w:rPr/>
        <w:t>CHIA</w:t>
      </w:r>
      <w:r>
        <w:rPr>
          <w:spacing w:val="-5"/>
        </w:rPr>
        <w:t> </w:t>
      </w:r>
      <w:r>
        <w:rPr/>
        <w:t>publications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some upcoming projects.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720"/>
        <w:jc w:val="left"/>
      </w:pPr>
      <w:r>
        <w:rPr>
          <w:smallCaps/>
          <w:spacing w:val="-2"/>
        </w:rPr>
        <w:t>Closing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BodyText"/>
      </w:pPr>
      <w:r>
        <w:rPr/>
        <w:t>With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discuss,</w:t>
      </w:r>
      <w:r>
        <w:rPr>
          <w:spacing w:val="-2"/>
        </w:rPr>
        <w:t> </w:t>
      </w:r>
      <w:r>
        <w:rPr/>
        <w:t>Ms.</w:t>
      </w:r>
      <w:r>
        <w:rPr>
          <w:spacing w:val="-4"/>
        </w:rPr>
        <w:t> </w:t>
      </w:r>
      <w:r>
        <w:rPr/>
        <w:t>Donohue</w:t>
      </w:r>
      <w:r>
        <w:rPr>
          <w:spacing w:val="-4"/>
        </w:rPr>
        <w:t> </w:t>
      </w:r>
      <w:r>
        <w:rPr/>
        <w:t>sought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adjourn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meeting;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concluded</w:t>
      </w:r>
      <w:r>
        <w:rPr>
          <w:spacing w:val="-1"/>
        </w:rPr>
        <w:t> </w:t>
      </w:r>
      <w:r>
        <w:rPr/>
        <w:t>at 11:58 a.m.</w:t>
      </w:r>
    </w:p>
    <w:sectPr>
      <w:pgSz w:w="12240" w:h="15840"/>
      <w:pgMar w:header="728" w:footer="309" w:top="1340" w:bottom="5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6751066</wp:posOffset>
              </wp:positionH>
              <wp:positionV relativeFrom="page">
                <wp:posOffset>9722401</wp:posOffset>
              </wp:positionV>
              <wp:extent cx="159385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580017pt;margin-top:765.543457pt;width:12.55pt;height:13.15pt;mso-position-horizontal-relative:page;mso-position-vertical-relative:page;z-index:-157644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1494789</wp:posOffset>
              </wp:positionH>
              <wp:positionV relativeFrom="page">
                <wp:posOffset>449792</wp:posOffset>
              </wp:positionV>
              <wp:extent cx="4785360" cy="3714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8536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804" w:right="18" w:hanging="2785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Minutes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Health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Information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Analysis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Oversight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Council January 25,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7.699997pt;margin-top:35.416718pt;width:376.8pt;height:29.25pt;mso-position-horizontal-relative:page;mso-position-vertical-relative:page;z-index:-1576499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804" w:right="18" w:hanging="2785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Minutes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Health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Information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Analysis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Oversight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Council January 25, 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20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20" w:hanging="7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20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Alexandra</dc:creator>
  <dcterms:created xsi:type="dcterms:W3CDTF">2026-03-30T14:54:47Z</dcterms:created>
  <dcterms:modified xsi:type="dcterms:W3CDTF">2026-03-30T14:54:47Z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for Microsoft 365</vt:lpwstr>
  </property>
</Properties>
</file>