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spacing w:before="82"/>
      </w:pPr>
      <w:r>
        <w:rPr>
          <w:b/>
        </w:rPr>
        <w:t>Council members present: </w:t>
      </w:r>
      <w:r>
        <w:rPr/>
        <w:t>Mr. Niels Puetthoff, designee of Commissioner Mike Caljouw, Division of Insurance; Mr. Brent Benson; Ms. Fay Donohue; Ms. Dana Sullivan, designee of Secretary Matthew Gorzkowicz,</w:t>
      </w:r>
      <w:r>
        <w:rPr>
          <w:spacing w:val="-5"/>
        </w:rPr>
        <w:t> </w:t>
      </w:r>
      <w:r>
        <w:rPr/>
        <w:t>Executive</w:t>
      </w:r>
      <w:r>
        <w:rPr>
          <w:spacing w:val="-5"/>
        </w:rPr>
        <w:t> </w:t>
      </w:r>
      <w:r>
        <w:rPr/>
        <w:t>Office</w:t>
      </w:r>
      <w:r>
        <w:rPr>
          <w:spacing w:val="-4"/>
        </w:rPr>
        <w:t> </w:t>
      </w:r>
      <w:r>
        <w:rPr/>
        <w:t>for</w:t>
      </w:r>
      <w:r>
        <w:rPr>
          <w:spacing w:val="-4"/>
        </w:rPr>
        <w:t> </w:t>
      </w:r>
      <w:r>
        <w:rPr/>
        <w:t>Administration</w:t>
      </w:r>
      <w:r>
        <w:rPr>
          <w:spacing w:val="-4"/>
        </w:rPr>
        <w:t> </w:t>
      </w:r>
      <w:r>
        <w:rPr/>
        <w:t>and</w:t>
      </w:r>
      <w:r>
        <w:rPr>
          <w:spacing w:val="-5"/>
        </w:rPr>
        <w:t> </w:t>
      </w:r>
      <w:r>
        <w:rPr/>
        <w:t>Finance;</w:t>
      </w:r>
      <w:r>
        <w:rPr>
          <w:spacing w:val="-3"/>
        </w:rPr>
        <w:t> </w:t>
      </w:r>
      <w:r>
        <w:rPr/>
        <w:t>Ms.</w:t>
      </w:r>
      <w:r>
        <w:rPr>
          <w:spacing w:val="-5"/>
        </w:rPr>
        <w:t> </w:t>
      </w:r>
      <w:r>
        <w:rPr/>
        <w:t>Adrianna</w:t>
      </w:r>
      <w:r>
        <w:rPr>
          <w:spacing w:val="-2"/>
        </w:rPr>
        <w:t> </w:t>
      </w:r>
      <w:r>
        <w:rPr/>
        <w:t>McIntyre;</w:t>
      </w:r>
      <w:r>
        <w:rPr>
          <w:spacing w:val="-4"/>
        </w:rPr>
        <w:t> </w:t>
      </w:r>
      <w:r>
        <w:rPr/>
        <w:t>Mr.</w:t>
      </w:r>
      <w:r>
        <w:rPr>
          <w:spacing w:val="-4"/>
        </w:rPr>
        <w:t> </w:t>
      </w:r>
      <w:r>
        <w:rPr/>
        <w:t>Alan</w:t>
      </w:r>
      <w:r>
        <w:rPr>
          <w:spacing w:val="-3"/>
        </w:rPr>
        <w:t> </w:t>
      </w:r>
      <w:r>
        <w:rPr/>
        <w:t>Sager;</w:t>
      </w:r>
      <w:r>
        <w:rPr>
          <w:spacing w:val="-2"/>
        </w:rPr>
        <w:t> </w:t>
      </w:r>
      <w:r>
        <w:rPr/>
        <w:t>Ms. Eliza Lake, designee of Secretary Kate Walsh, Executive Office of Health and Human Services; Ms.</w:t>
      </w:r>
    </w:p>
    <w:p>
      <w:pPr>
        <w:pStyle w:val="BodyText"/>
        <w:spacing w:line="477" w:lineRule="auto" w:before="2"/>
        <w:ind w:right="3129"/>
      </w:pPr>
      <w:r>
        <w:rPr/>
        <w:t>Sandra</w:t>
      </w:r>
      <w:r>
        <w:rPr>
          <w:spacing w:val="-3"/>
        </w:rPr>
        <w:t> </w:t>
      </w:r>
      <w:r>
        <w:rPr/>
        <w:t>Wolitzky,</w:t>
      </w:r>
      <w:r>
        <w:rPr>
          <w:spacing w:val="-5"/>
        </w:rPr>
        <w:t> </w:t>
      </w:r>
      <w:r>
        <w:rPr/>
        <w:t>Office</w:t>
      </w:r>
      <w:r>
        <w:rPr>
          <w:spacing w:val="-3"/>
        </w:rPr>
        <w:t> </w:t>
      </w:r>
      <w:r>
        <w:rPr/>
        <w:t>of</w:t>
      </w:r>
      <w:r>
        <w:rPr>
          <w:spacing w:val="-6"/>
        </w:rPr>
        <w:t> </w:t>
      </w:r>
      <w:r>
        <w:rPr/>
        <w:t>the</w:t>
      </w:r>
      <w:r>
        <w:rPr>
          <w:spacing w:val="-6"/>
        </w:rPr>
        <w:t> </w:t>
      </w:r>
      <w:r>
        <w:rPr/>
        <w:t>Attorney</w:t>
      </w:r>
      <w:r>
        <w:rPr>
          <w:spacing w:val="-4"/>
        </w:rPr>
        <w:t> </w:t>
      </w:r>
      <w:r>
        <w:rPr/>
        <w:t>General;</w:t>
      </w:r>
      <w:r>
        <w:rPr>
          <w:spacing w:val="-4"/>
        </w:rPr>
        <w:t> </w:t>
      </w:r>
      <w:r>
        <w:rPr/>
        <w:t>and</w:t>
      </w:r>
      <w:r>
        <w:rPr>
          <w:spacing w:val="-4"/>
        </w:rPr>
        <w:t> </w:t>
      </w:r>
      <w:r>
        <w:rPr/>
        <w:t>Ms.</w:t>
      </w:r>
      <w:r>
        <w:rPr>
          <w:spacing w:val="-6"/>
        </w:rPr>
        <w:t> </w:t>
      </w:r>
      <w:r>
        <w:rPr/>
        <w:t>Jean</w:t>
      </w:r>
      <w:r>
        <w:rPr>
          <w:spacing w:val="-3"/>
        </w:rPr>
        <w:t> </w:t>
      </w:r>
      <w:r>
        <w:rPr/>
        <w:t>Yang. Ms. Donohue called the meeting to order at 2:04 p.m.</w:t>
      </w:r>
    </w:p>
    <w:p>
      <w:pPr>
        <w:pStyle w:val="Heading1"/>
        <w:numPr>
          <w:ilvl w:val="0"/>
          <w:numId w:val="1"/>
        </w:numPr>
        <w:tabs>
          <w:tab w:pos="820" w:val="left" w:leader="none"/>
        </w:tabs>
        <w:spacing w:line="240" w:lineRule="auto" w:before="5" w:after="0"/>
        <w:ind w:left="820" w:right="0" w:hanging="720"/>
        <w:jc w:val="left"/>
      </w:pPr>
      <w:r>
        <w:rPr>
          <w:smallCaps/>
        </w:rPr>
        <w:t>Approval</w:t>
      </w:r>
      <w:r>
        <w:rPr>
          <w:smallCaps/>
          <w:spacing w:val="-6"/>
        </w:rPr>
        <w:t> </w:t>
      </w:r>
      <w:r>
        <w:rPr>
          <w:smallCaps/>
        </w:rPr>
        <w:t>of</w:t>
      </w:r>
      <w:r>
        <w:rPr>
          <w:smallCaps/>
          <w:spacing w:val="-7"/>
        </w:rPr>
        <w:t> </w:t>
      </w:r>
      <w:r>
        <w:rPr>
          <w:smallCaps/>
        </w:rPr>
        <w:t>Prior</w:t>
      </w:r>
      <w:r>
        <w:rPr>
          <w:smallCaps/>
          <w:spacing w:val="-7"/>
        </w:rPr>
        <w:t> </w:t>
      </w:r>
      <w:r>
        <w:rPr>
          <w:smallCaps/>
        </w:rPr>
        <w:t>Meeting</w:t>
      </w:r>
      <w:r>
        <w:rPr>
          <w:smallCaps/>
          <w:spacing w:val="-8"/>
        </w:rPr>
        <w:t> </w:t>
      </w:r>
      <w:r>
        <w:rPr>
          <w:smallCaps/>
        </w:rPr>
        <w:t>Minutes</w:t>
      </w:r>
      <w:r>
        <w:rPr>
          <w:smallCaps/>
          <w:spacing w:val="-7"/>
        </w:rPr>
        <w:t> </w:t>
      </w:r>
      <w:r>
        <w:rPr>
          <w:smallCaps/>
          <w:spacing w:val="-2"/>
        </w:rPr>
        <w:t>[VOTE]</w:t>
      </w:r>
    </w:p>
    <w:p>
      <w:pPr>
        <w:pStyle w:val="BodyText"/>
        <w:spacing w:before="11"/>
        <w:ind w:left="0"/>
        <w:rPr>
          <w:b/>
          <w:sz w:val="19"/>
        </w:rPr>
      </w:pPr>
    </w:p>
    <w:p>
      <w:pPr>
        <w:pStyle w:val="BodyText"/>
      </w:pPr>
      <w:r>
        <w:rPr/>
        <w:t>Ms.</w:t>
      </w:r>
      <w:r>
        <w:rPr>
          <w:spacing w:val="-8"/>
        </w:rPr>
        <w:t> </w:t>
      </w:r>
      <w:r>
        <w:rPr/>
        <w:t>Donohue</w:t>
      </w:r>
      <w:r>
        <w:rPr>
          <w:spacing w:val="-7"/>
        </w:rPr>
        <w:t> </w:t>
      </w:r>
      <w:r>
        <w:rPr/>
        <w:t>opened</w:t>
      </w:r>
      <w:r>
        <w:rPr>
          <w:spacing w:val="-7"/>
        </w:rPr>
        <w:t> </w:t>
      </w:r>
      <w:r>
        <w:rPr/>
        <w:t>the</w:t>
      </w:r>
      <w:r>
        <w:rPr>
          <w:spacing w:val="-5"/>
        </w:rPr>
        <w:t> </w:t>
      </w:r>
      <w:r>
        <w:rPr/>
        <w:t>meeting</w:t>
      </w:r>
      <w:r>
        <w:rPr>
          <w:spacing w:val="-5"/>
        </w:rPr>
        <w:t> </w:t>
      </w:r>
      <w:r>
        <w:rPr/>
        <w:t>and</w:t>
      </w:r>
      <w:r>
        <w:rPr>
          <w:spacing w:val="-7"/>
        </w:rPr>
        <w:t> </w:t>
      </w:r>
      <w:r>
        <w:rPr/>
        <w:t>thanked</w:t>
      </w:r>
      <w:r>
        <w:rPr>
          <w:spacing w:val="-5"/>
        </w:rPr>
        <w:t> </w:t>
      </w:r>
      <w:r>
        <w:rPr/>
        <w:t>the</w:t>
      </w:r>
      <w:r>
        <w:rPr>
          <w:spacing w:val="-5"/>
        </w:rPr>
        <w:t> </w:t>
      </w:r>
      <w:r>
        <w:rPr/>
        <w:t>Council</w:t>
      </w:r>
      <w:r>
        <w:rPr>
          <w:spacing w:val="-7"/>
        </w:rPr>
        <w:t> </w:t>
      </w:r>
      <w:r>
        <w:rPr/>
        <w:t>members</w:t>
      </w:r>
      <w:r>
        <w:rPr>
          <w:spacing w:val="-6"/>
        </w:rPr>
        <w:t> </w:t>
      </w:r>
      <w:r>
        <w:rPr/>
        <w:t>for</w:t>
      </w:r>
      <w:r>
        <w:rPr>
          <w:spacing w:val="-6"/>
        </w:rPr>
        <w:t> </w:t>
      </w:r>
      <w:r>
        <w:rPr>
          <w:spacing w:val="-2"/>
        </w:rPr>
        <w:t>joining.</w:t>
      </w:r>
    </w:p>
    <w:p>
      <w:pPr>
        <w:pStyle w:val="BodyText"/>
        <w:spacing w:before="1"/>
        <w:ind w:left="0"/>
      </w:pPr>
    </w:p>
    <w:p>
      <w:pPr>
        <w:pStyle w:val="BodyText"/>
        <w:ind w:right="183"/>
      </w:pPr>
      <w:r>
        <w:rPr/>
        <w:t>Ms.</w:t>
      </w:r>
      <w:r>
        <w:rPr>
          <w:spacing w:val="-4"/>
        </w:rPr>
        <w:t> </w:t>
      </w:r>
      <w:r>
        <w:rPr/>
        <w:t>Donohue</w:t>
      </w:r>
      <w:r>
        <w:rPr>
          <w:spacing w:val="-4"/>
        </w:rPr>
        <w:t> </w:t>
      </w:r>
      <w:r>
        <w:rPr/>
        <w:t>next</w:t>
      </w:r>
      <w:r>
        <w:rPr>
          <w:spacing w:val="-4"/>
        </w:rPr>
        <w:t> </w:t>
      </w:r>
      <w:r>
        <w:rPr/>
        <w:t>called</w:t>
      </w:r>
      <w:r>
        <w:rPr>
          <w:spacing w:val="-2"/>
        </w:rPr>
        <w:t> </w:t>
      </w:r>
      <w:r>
        <w:rPr/>
        <w:t>for</w:t>
      </w:r>
      <w:r>
        <w:rPr>
          <w:spacing w:val="-2"/>
        </w:rPr>
        <w:t> </w:t>
      </w:r>
      <w:r>
        <w:rPr/>
        <w:t>a</w:t>
      </w:r>
      <w:r>
        <w:rPr>
          <w:spacing w:val="-4"/>
        </w:rPr>
        <w:t> </w:t>
      </w:r>
      <w:r>
        <w:rPr/>
        <w:t>motion</w:t>
      </w:r>
      <w:r>
        <w:rPr>
          <w:spacing w:val="-4"/>
        </w:rPr>
        <w:t> </w:t>
      </w:r>
      <w:r>
        <w:rPr/>
        <w:t>to</w:t>
      </w:r>
      <w:r>
        <w:rPr>
          <w:spacing w:val="-2"/>
        </w:rPr>
        <w:t> </w:t>
      </w:r>
      <w:r>
        <w:rPr/>
        <w:t>approve</w:t>
      </w:r>
      <w:r>
        <w:rPr>
          <w:spacing w:val="-4"/>
        </w:rPr>
        <w:t> </w:t>
      </w:r>
      <w:r>
        <w:rPr/>
        <w:t>the</w:t>
      </w:r>
      <w:r>
        <w:rPr>
          <w:spacing w:val="-4"/>
        </w:rPr>
        <w:t> </w:t>
      </w:r>
      <w:r>
        <w:rPr/>
        <w:t>minutes</w:t>
      </w:r>
      <w:r>
        <w:rPr>
          <w:spacing w:val="-2"/>
        </w:rPr>
        <w:t> </w:t>
      </w:r>
      <w:r>
        <w:rPr/>
        <w:t>from</w:t>
      </w:r>
      <w:r>
        <w:rPr>
          <w:spacing w:val="-2"/>
        </w:rPr>
        <w:t> </w:t>
      </w:r>
      <w:r>
        <w:rPr/>
        <w:t>the</w:t>
      </w:r>
      <w:r>
        <w:rPr>
          <w:spacing w:val="-2"/>
        </w:rPr>
        <w:t> </w:t>
      </w:r>
      <w:r>
        <w:rPr/>
        <w:t>September</w:t>
      </w:r>
      <w:r>
        <w:rPr>
          <w:spacing w:val="-1"/>
        </w:rPr>
        <w:t> </w:t>
      </w:r>
      <w:r>
        <w:rPr/>
        <w:t>17,</w:t>
      </w:r>
      <w:r>
        <w:rPr>
          <w:spacing w:val="-4"/>
        </w:rPr>
        <w:t> </w:t>
      </w:r>
      <w:r>
        <w:rPr/>
        <w:t>2024,</w:t>
      </w:r>
      <w:r>
        <w:rPr>
          <w:spacing w:val="-3"/>
        </w:rPr>
        <w:t> </w:t>
      </w:r>
      <w:r>
        <w:rPr/>
        <w:t>meeting, which was followed by a formal roll call vote; the minutes were unanimously approved.</w:t>
      </w:r>
    </w:p>
    <w:p>
      <w:pPr>
        <w:pStyle w:val="BodyText"/>
        <w:ind w:left="0"/>
      </w:pPr>
    </w:p>
    <w:p>
      <w:pPr>
        <w:pStyle w:val="Heading1"/>
        <w:numPr>
          <w:ilvl w:val="0"/>
          <w:numId w:val="1"/>
        </w:numPr>
        <w:tabs>
          <w:tab w:pos="820" w:val="left" w:leader="none"/>
        </w:tabs>
        <w:spacing w:line="240" w:lineRule="auto" w:before="0" w:after="0"/>
        <w:ind w:left="820" w:right="0" w:hanging="720"/>
        <w:jc w:val="left"/>
      </w:pPr>
      <w:r>
        <w:rPr>
          <w:smallCaps/>
        </w:rPr>
        <w:t>Strategic</w:t>
      </w:r>
      <w:r>
        <w:rPr>
          <w:smallCaps/>
          <w:spacing w:val="-10"/>
        </w:rPr>
        <w:t> </w:t>
      </w:r>
      <w:r>
        <w:rPr>
          <w:smallCaps/>
        </w:rPr>
        <w:t>Planning</w:t>
      </w:r>
      <w:r>
        <w:rPr>
          <w:smallCaps/>
          <w:spacing w:val="-11"/>
        </w:rPr>
        <w:t> </w:t>
      </w:r>
      <w:r>
        <w:rPr>
          <w:smallCaps/>
          <w:spacing w:val="-2"/>
        </w:rPr>
        <w:t>Update</w:t>
      </w:r>
    </w:p>
    <w:p>
      <w:pPr>
        <w:pStyle w:val="BodyText"/>
        <w:spacing w:before="11"/>
        <w:ind w:left="0"/>
        <w:rPr>
          <w:b/>
          <w:sz w:val="19"/>
        </w:rPr>
      </w:pPr>
    </w:p>
    <w:p>
      <w:pPr>
        <w:pStyle w:val="BodyText"/>
        <w:ind w:right="152"/>
        <w:jc w:val="both"/>
      </w:pPr>
      <w:r>
        <w:rPr>
          <w:color w:val="1A181A"/>
        </w:rPr>
        <w:t>Executive</w:t>
      </w:r>
      <w:r>
        <w:rPr>
          <w:color w:val="1A181A"/>
          <w:spacing w:val="-3"/>
        </w:rPr>
        <w:t> </w:t>
      </w:r>
      <w:r>
        <w:rPr>
          <w:color w:val="1A181A"/>
        </w:rPr>
        <w:t>Director</w:t>
      </w:r>
      <w:r>
        <w:rPr>
          <w:color w:val="1A181A"/>
          <w:spacing w:val="-2"/>
        </w:rPr>
        <w:t> </w:t>
      </w:r>
      <w:r>
        <w:rPr>
          <w:color w:val="1A181A"/>
        </w:rPr>
        <w:t>Lauren</w:t>
      </w:r>
      <w:r>
        <w:rPr>
          <w:color w:val="1A181A"/>
          <w:spacing w:val="-4"/>
        </w:rPr>
        <w:t> </w:t>
      </w:r>
      <w:r>
        <w:rPr>
          <w:color w:val="1A181A"/>
        </w:rPr>
        <w:t>Peters invited</w:t>
      </w:r>
      <w:r>
        <w:rPr>
          <w:color w:val="1A181A"/>
          <w:spacing w:val="-5"/>
        </w:rPr>
        <w:t> </w:t>
      </w:r>
      <w:r>
        <w:rPr>
          <w:color w:val="1A181A"/>
        </w:rPr>
        <w:t>CHIA’s</w:t>
      </w:r>
      <w:r>
        <w:rPr>
          <w:color w:val="1A181A"/>
          <w:spacing w:val="-3"/>
        </w:rPr>
        <w:t> </w:t>
      </w:r>
      <w:r>
        <w:rPr>
          <w:color w:val="1A181A"/>
        </w:rPr>
        <w:t>Chief</w:t>
      </w:r>
      <w:r>
        <w:rPr>
          <w:color w:val="1A181A"/>
          <w:spacing w:val="-3"/>
        </w:rPr>
        <w:t> </w:t>
      </w:r>
      <w:r>
        <w:rPr>
          <w:color w:val="1A181A"/>
        </w:rPr>
        <w:t>of</w:t>
      </w:r>
      <w:r>
        <w:rPr>
          <w:color w:val="1A181A"/>
          <w:spacing w:val="-5"/>
        </w:rPr>
        <w:t> </w:t>
      </w:r>
      <w:r>
        <w:rPr>
          <w:color w:val="1A181A"/>
        </w:rPr>
        <w:t>Staff,</w:t>
      </w:r>
      <w:r>
        <w:rPr>
          <w:color w:val="1A181A"/>
          <w:spacing w:val="-2"/>
        </w:rPr>
        <w:t> </w:t>
      </w:r>
      <w:r>
        <w:rPr>
          <w:color w:val="1A181A"/>
        </w:rPr>
        <w:t>Andrew</w:t>
      </w:r>
      <w:r>
        <w:rPr>
          <w:color w:val="1A181A"/>
          <w:spacing w:val="-5"/>
        </w:rPr>
        <w:t> </w:t>
      </w:r>
      <w:r>
        <w:rPr>
          <w:color w:val="1A181A"/>
        </w:rPr>
        <w:t>Jackmauh,</w:t>
      </w:r>
      <w:r>
        <w:rPr>
          <w:color w:val="1A181A"/>
          <w:spacing w:val="-4"/>
        </w:rPr>
        <w:t> </w:t>
      </w:r>
      <w:r>
        <w:rPr>
          <w:color w:val="1A181A"/>
        </w:rPr>
        <w:t>to</w:t>
      </w:r>
      <w:r>
        <w:rPr>
          <w:color w:val="1A181A"/>
          <w:spacing w:val="-5"/>
        </w:rPr>
        <w:t> </w:t>
      </w:r>
      <w:r>
        <w:rPr>
          <w:color w:val="1A181A"/>
        </w:rPr>
        <w:t>provide</w:t>
      </w:r>
      <w:r>
        <w:rPr>
          <w:color w:val="1A181A"/>
          <w:spacing w:val="-4"/>
        </w:rPr>
        <w:t> </w:t>
      </w:r>
      <w:r>
        <w:rPr>
          <w:color w:val="1A181A"/>
        </w:rPr>
        <w:t>an</w:t>
      </w:r>
      <w:r>
        <w:rPr>
          <w:color w:val="1A181A"/>
          <w:spacing w:val="-2"/>
        </w:rPr>
        <w:t> </w:t>
      </w:r>
      <w:r>
        <w:rPr>
          <w:color w:val="1A181A"/>
        </w:rPr>
        <w:t>overview of</w:t>
      </w:r>
      <w:r>
        <w:rPr>
          <w:color w:val="1A181A"/>
          <w:spacing w:val="-3"/>
        </w:rPr>
        <w:t> </w:t>
      </w:r>
      <w:r>
        <w:rPr>
          <w:color w:val="1A181A"/>
        </w:rPr>
        <w:t>strategic</w:t>
      </w:r>
      <w:r>
        <w:rPr>
          <w:color w:val="1A181A"/>
          <w:spacing w:val="-2"/>
        </w:rPr>
        <w:t> </w:t>
      </w:r>
      <w:r>
        <w:rPr>
          <w:color w:val="1A181A"/>
        </w:rPr>
        <w:t>planning</w:t>
      </w:r>
      <w:r>
        <w:rPr>
          <w:color w:val="1A181A"/>
          <w:spacing w:val="-4"/>
        </w:rPr>
        <w:t> </w:t>
      </w:r>
      <w:r>
        <w:rPr>
          <w:color w:val="1A181A"/>
        </w:rPr>
        <w:t>efforts to</w:t>
      </w:r>
      <w:r>
        <w:rPr>
          <w:color w:val="1A181A"/>
          <w:spacing w:val="-4"/>
        </w:rPr>
        <w:t> </w:t>
      </w:r>
      <w:r>
        <w:rPr>
          <w:color w:val="1A181A"/>
        </w:rPr>
        <w:t>date</w:t>
      </w:r>
      <w:r>
        <w:rPr>
          <w:color w:val="1A181A"/>
          <w:spacing w:val="-2"/>
        </w:rPr>
        <w:t> </w:t>
      </w:r>
      <w:r>
        <w:rPr>
          <w:color w:val="1A181A"/>
        </w:rPr>
        <w:t>and review CHIA’s proposed</w:t>
      </w:r>
      <w:r>
        <w:rPr>
          <w:color w:val="1A181A"/>
          <w:spacing w:val="-3"/>
        </w:rPr>
        <w:t> </w:t>
      </w:r>
      <w:r>
        <w:rPr>
          <w:color w:val="1A181A"/>
        </w:rPr>
        <w:t>plans</w:t>
      </w:r>
      <w:r>
        <w:rPr>
          <w:color w:val="1A181A"/>
          <w:spacing w:val="-2"/>
        </w:rPr>
        <w:t> </w:t>
      </w:r>
      <w:r>
        <w:rPr>
          <w:color w:val="1A181A"/>
        </w:rPr>
        <w:t>and</w:t>
      </w:r>
      <w:r>
        <w:rPr>
          <w:color w:val="1A181A"/>
          <w:spacing w:val="-2"/>
        </w:rPr>
        <w:t> </w:t>
      </w:r>
      <w:r>
        <w:rPr>
          <w:color w:val="1A181A"/>
        </w:rPr>
        <w:t>updates</w:t>
      </w:r>
      <w:r>
        <w:rPr>
          <w:color w:val="1A181A"/>
          <w:spacing w:val="-2"/>
        </w:rPr>
        <w:t> </w:t>
      </w:r>
      <w:r>
        <w:rPr>
          <w:color w:val="1A181A"/>
        </w:rPr>
        <w:t>to</w:t>
      </w:r>
      <w:r>
        <w:rPr>
          <w:color w:val="1A181A"/>
          <w:spacing w:val="-4"/>
        </w:rPr>
        <w:t> </w:t>
      </w:r>
      <w:r>
        <w:rPr>
          <w:color w:val="1A181A"/>
        </w:rPr>
        <w:t>our</w:t>
      </w:r>
      <w:r>
        <w:rPr>
          <w:color w:val="1A181A"/>
          <w:spacing w:val="-2"/>
        </w:rPr>
        <w:t> </w:t>
      </w:r>
      <w:r>
        <w:rPr>
          <w:color w:val="1A181A"/>
        </w:rPr>
        <w:t>analytic</w:t>
      </w:r>
      <w:r>
        <w:rPr>
          <w:color w:val="1A181A"/>
          <w:spacing w:val="-2"/>
        </w:rPr>
        <w:t> </w:t>
      </w:r>
      <w:r>
        <w:rPr>
          <w:color w:val="1A181A"/>
        </w:rPr>
        <w:t>priority areas, including Council member feedback from the September 17 meeting.</w:t>
      </w:r>
    </w:p>
    <w:p>
      <w:pPr>
        <w:pStyle w:val="BodyText"/>
        <w:spacing w:before="229"/>
        <w:ind w:right="183"/>
      </w:pPr>
      <w:r>
        <w:rPr>
          <w:color w:val="1A181A"/>
        </w:rPr>
        <w:t>Mr.</w:t>
      </w:r>
      <w:r>
        <w:rPr>
          <w:color w:val="1A181A"/>
          <w:spacing w:val="-3"/>
        </w:rPr>
        <w:t> </w:t>
      </w:r>
      <w:r>
        <w:rPr>
          <w:color w:val="1A181A"/>
        </w:rPr>
        <w:t>Jackmauh</w:t>
      </w:r>
      <w:r>
        <w:rPr>
          <w:color w:val="1A181A"/>
          <w:spacing w:val="-2"/>
        </w:rPr>
        <w:t> </w:t>
      </w:r>
      <w:r>
        <w:rPr>
          <w:color w:val="1A181A"/>
        </w:rPr>
        <w:t>first</w:t>
      </w:r>
      <w:r>
        <w:rPr>
          <w:color w:val="1A181A"/>
          <w:spacing w:val="-3"/>
        </w:rPr>
        <w:t> </w:t>
      </w:r>
      <w:r>
        <w:rPr>
          <w:color w:val="1A181A"/>
        </w:rPr>
        <w:t>provided</w:t>
      </w:r>
      <w:r>
        <w:rPr>
          <w:color w:val="1A181A"/>
          <w:spacing w:val="-3"/>
        </w:rPr>
        <w:t> </w:t>
      </w:r>
      <w:r>
        <w:rPr>
          <w:color w:val="1A181A"/>
        </w:rPr>
        <w:t>an</w:t>
      </w:r>
      <w:r>
        <w:rPr>
          <w:color w:val="1A181A"/>
          <w:spacing w:val="-1"/>
        </w:rPr>
        <w:t> </w:t>
      </w:r>
      <w:r>
        <w:rPr>
          <w:color w:val="1A181A"/>
        </w:rPr>
        <w:t>update</w:t>
      </w:r>
      <w:r>
        <w:rPr>
          <w:color w:val="1A181A"/>
          <w:spacing w:val="-2"/>
        </w:rPr>
        <w:t> </w:t>
      </w:r>
      <w:r>
        <w:rPr>
          <w:color w:val="1A181A"/>
        </w:rPr>
        <w:t>on</w:t>
      </w:r>
      <w:r>
        <w:rPr>
          <w:color w:val="1A181A"/>
          <w:spacing w:val="-4"/>
        </w:rPr>
        <w:t> </w:t>
      </w:r>
      <w:r>
        <w:rPr>
          <w:color w:val="1A181A"/>
        </w:rPr>
        <w:t>the</w:t>
      </w:r>
      <w:r>
        <w:rPr>
          <w:color w:val="1A181A"/>
          <w:spacing w:val="-4"/>
        </w:rPr>
        <w:t> </w:t>
      </w:r>
      <w:r>
        <w:rPr>
          <w:color w:val="1A181A"/>
        </w:rPr>
        <w:t>Health</w:t>
      </w:r>
      <w:r>
        <w:rPr>
          <w:color w:val="1A181A"/>
          <w:spacing w:val="-1"/>
        </w:rPr>
        <w:t> </w:t>
      </w:r>
      <w:r>
        <w:rPr>
          <w:color w:val="1A181A"/>
        </w:rPr>
        <w:t>Equity priority</w:t>
      </w:r>
      <w:r>
        <w:rPr>
          <w:color w:val="1A181A"/>
          <w:spacing w:val="-2"/>
        </w:rPr>
        <w:t> </w:t>
      </w:r>
      <w:r>
        <w:rPr>
          <w:color w:val="1A181A"/>
        </w:rPr>
        <w:t>area,</w:t>
      </w:r>
      <w:r>
        <w:rPr>
          <w:color w:val="1A181A"/>
          <w:spacing w:val="-3"/>
        </w:rPr>
        <w:t> </w:t>
      </w:r>
      <w:r>
        <w:rPr>
          <w:color w:val="1A181A"/>
        </w:rPr>
        <w:t>reminding</w:t>
      </w:r>
      <w:r>
        <w:rPr>
          <w:color w:val="1A181A"/>
          <w:spacing w:val="-4"/>
        </w:rPr>
        <w:t> </w:t>
      </w:r>
      <w:r>
        <w:rPr>
          <w:color w:val="1A181A"/>
        </w:rPr>
        <w:t>members</w:t>
      </w:r>
      <w:r>
        <w:rPr>
          <w:color w:val="1A181A"/>
          <w:spacing w:val="-1"/>
        </w:rPr>
        <w:t> </w:t>
      </w:r>
      <w:r>
        <w:rPr>
          <w:color w:val="1A181A"/>
        </w:rPr>
        <w:t>of</w:t>
      </w:r>
      <w:r>
        <w:rPr>
          <w:color w:val="1A181A"/>
          <w:spacing w:val="-3"/>
        </w:rPr>
        <w:t> </w:t>
      </w:r>
      <w:r>
        <w:rPr>
          <w:color w:val="1A181A"/>
        </w:rPr>
        <w:t>the</w:t>
      </w:r>
      <w:r>
        <w:rPr>
          <w:color w:val="1A181A"/>
          <w:spacing w:val="-3"/>
        </w:rPr>
        <w:t> </w:t>
      </w:r>
      <w:r>
        <w:rPr>
          <w:color w:val="1A181A"/>
        </w:rPr>
        <w:t>five- point equity plan and the goals to improve reporting by building on existing work and identifying new areas</w:t>
      </w:r>
      <w:r>
        <w:rPr>
          <w:color w:val="1A181A"/>
          <w:spacing w:val="-2"/>
        </w:rPr>
        <w:t> </w:t>
      </w:r>
      <w:r>
        <w:rPr>
          <w:color w:val="1A181A"/>
        </w:rPr>
        <w:t>of</w:t>
      </w:r>
      <w:r>
        <w:rPr>
          <w:color w:val="1A181A"/>
          <w:spacing w:val="-1"/>
        </w:rPr>
        <w:t> </w:t>
      </w:r>
      <w:r>
        <w:rPr>
          <w:color w:val="1A181A"/>
        </w:rPr>
        <w:t>opportunity.</w:t>
      </w:r>
      <w:r>
        <w:rPr>
          <w:color w:val="1A181A"/>
          <w:spacing w:val="-3"/>
        </w:rPr>
        <w:t> </w:t>
      </w:r>
      <w:r>
        <w:rPr>
          <w:color w:val="1A181A"/>
        </w:rPr>
        <w:t>He</w:t>
      </w:r>
      <w:r>
        <w:rPr>
          <w:color w:val="1A181A"/>
          <w:spacing w:val="-1"/>
        </w:rPr>
        <w:t> </w:t>
      </w:r>
      <w:r>
        <w:rPr>
          <w:color w:val="1A181A"/>
        </w:rPr>
        <w:t>also</w:t>
      </w:r>
      <w:r>
        <w:rPr>
          <w:color w:val="1A181A"/>
          <w:spacing w:val="-3"/>
        </w:rPr>
        <w:t> </w:t>
      </w:r>
      <w:r>
        <w:rPr>
          <w:color w:val="1A181A"/>
        </w:rPr>
        <w:t>highlighted</w:t>
      </w:r>
      <w:r>
        <w:rPr>
          <w:color w:val="1A181A"/>
          <w:spacing w:val="-3"/>
        </w:rPr>
        <w:t> </w:t>
      </w:r>
      <w:r>
        <w:rPr>
          <w:color w:val="1A181A"/>
        </w:rPr>
        <w:t>that</w:t>
      </w:r>
      <w:r>
        <w:rPr>
          <w:color w:val="1A181A"/>
          <w:spacing w:val="-3"/>
        </w:rPr>
        <w:t> </w:t>
      </w:r>
      <w:r>
        <w:rPr>
          <w:color w:val="1A181A"/>
        </w:rPr>
        <w:t>CHIA</w:t>
      </w:r>
      <w:r>
        <w:rPr>
          <w:color w:val="1A181A"/>
          <w:spacing w:val="-1"/>
        </w:rPr>
        <w:t> </w:t>
      </w:r>
      <w:r>
        <w:rPr>
          <w:color w:val="1A181A"/>
        </w:rPr>
        <w:t>is</w:t>
      </w:r>
      <w:r>
        <w:rPr>
          <w:color w:val="1A181A"/>
          <w:spacing w:val="-2"/>
        </w:rPr>
        <w:t> </w:t>
      </w:r>
      <w:r>
        <w:rPr>
          <w:color w:val="1A181A"/>
        </w:rPr>
        <w:t>developing</w:t>
      </w:r>
      <w:r>
        <w:rPr>
          <w:color w:val="1A181A"/>
          <w:spacing w:val="-3"/>
        </w:rPr>
        <w:t> </w:t>
      </w:r>
      <w:r>
        <w:rPr>
          <w:color w:val="1A181A"/>
        </w:rPr>
        <w:t>a</w:t>
      </w:r>
      <w:r>
        <w:rPr>
          <w:color w:val="1A181A"/>
          <w:spacing w:val="-2"/>
        </w:rPr>
        <w:t> </w:t>
      </w:r>
      <w:r>
        <w:rPr>
          <w:color w:val="1A181A"/>
        </w:rPr>
        <w:t>new</w:t>
      </w:r>
      <w:r>
        <w:rPr>
          <w:color w:val="1A181A"/>
          <w:spacing w:val="-3"/>
        </w:rPr>
        <w:t> </w:t>
      </w:r>
      <w:r>
        <w:rPr>
          <w:color w:val="1A181A"/>
        </w:rPr>
        <w:t>static dashboard</w:t>
      </w:r>
      <w:r>
        <w:rPr>
          <w:color w:val="1A181A"/>
          <w:spacing w:val="-3"/>
        </w:rPr>
        <w:t> </w:t>
      </w:r>
      <w:r>
        <w:rPr>
          <w:color w:val="1A181A"/>
        </w:rPr>
        <w:t>publication</w:t>
      </w:r>
      <w:r>
        <w:rPr>
          <w:color w:val="1A181A"/>
          <w:spacing w:val="-4"/>
        </w:rPr>
        <w:t> </w:t>
      </w:r>
      <w:r>
        <w:rPr>
          <w:color w:val="1A181A"/>
        </w:rPr>
        <w:t>that will</w:t>
      </w:r>
      <w:r>
        <w:rPr>
          <w:color w:val="1A181A"/>
          <w:spacing w:val="-4"/>
        </w:rPr>
        <w:t> </w:t>
      </w:r>
      <w:r>
        <w:rPr>
          <w:color w:val="1A181A"/>
        </w:rPr>
        <w:t>focus on</w:t>
      </w:r>
      <w:r>
        <w:rPr>
          <w:color w:val="1A181A"/>
          <w:spacing w:val="-4"/>
        </w:rPr>
        <w:t> </w:t>
      </w:r>
      <w:r>
        <w:rPr>
          <w:color w:val="1A181A"/>
        </w:rPr>
        <w:t>equity</w:t>
      </w:r>
      <w:r>
        <w:rPr>
          <w:color w:val="1A181A"/>
          <w:spacing w:val="-2"/>
        </w:rPr>
        <w:t> </w:t>
      </w:r>
      <w:r>
        <w:rPr>
          <w:color w:val="1A181A"/>
        </w:rPr>
        <w:t>measures. Mr.</w:t>
      </w:r>
      <w:r>
        <w:rPr>
          <w:color w:val="1A181A"/>
          <w:spacing w:val="-3"/>
        </w:rPr>
        <w:t> </w:t>
      </w:r>
      <w:r>
        <w:rPr>
          <w:color w:val="1A181A"/>
        </w:rPr>
        <w:t>Puetthoff asked</w:t>
      </w:r>
      <w:r>
        <w:rPr>
          <w:color w:val="1A181A"/>
          <w:spacing w:val="-4"/>
        </w:rPr>
        <w:t> </w:t>
      </w:r>
      <w:r>
        <w:rPr>
          <w:color w:val="1A181A"/>
        </w:rPr>
        <w:t>some</w:t>
      </w:r>
      <w:r>
        <w:rPr>
          <w:color w:val="1A181A"/>
          <w:spacing w:val="-3"/>
        </w:rPr>
        <w:t> </w:t>
      </w:r>
      <w:r>
        <w:rPr>
          <w:color w:val="1A181A"/>
        </w:rPr>
        <w:t>questions</w:t>
      </w:r>
      <w:r>
        <w:rPr>
          <w:color w:val="1A181A"/>
          <w:spacing w:val="-2"/>
        </w:rPr>
        <w:t> </w:t>
      </w:r>
      <w:r>
        <w:rPr>
          <w:color w:val="1A181A"/>
        </w:rPr>
        <w:t>regarding</w:t>
      </w:r>
      <w:r>
        <w:rPr>
          <w:color w:val="1A181A"/>
          <w:spacing w:val="-4"/>
        </w:rPr>
        <w:t> </w:t>
      </w:r>
      <w:r>
        <w:rPr>
          <w:color w:val="1A181A"/>
        </w:rPr>
        <w:t>the type</w:t>
      </w:r>
      <w:r>
        <w:rPr>
          <w:color w:val="1A181A"/>
          <w:spacing w:val="-4"/>
        </w:rPr>
        <w:t> </w:t>
      </w:r>
      <w:r>
        <w:rPr>
          <w:color w:val="1A181A"/>
        </w:rPr>
        <w:t>of</w:t>
      </w:r>
      <w:r>
        <w:rPr>
          <w:color w:val="1A181A"/>
          <w:spacing w:val="-1"/>
        </w:rPr>
        <w:t> </w:t>
      </w:r>
      <w:r>
        <w:rPr>
          <w:color w:val="1A181A"/>
        </w:rPr>
        <w:t>data</w:t>
      </w:r>
      <w:r>
        <w:rPr>
          <w:color w:val="1A181A"/>
          <w:spacing w:val="-3"/>
        </w:rPr>
        <w:t> </w:t>
      </w:r>
      <w:r>
        <w:rPr>
          <w:color w:val="1A181A"/>
        </w:rPr>
        <w:t>that</w:t>
      </w:r>
      <w:r>
        <w:rPr>
          <w:color w:val="1A181A"/>
          <w:spacing w:val="-3"/>
        </w:rPr>
        <w:t> </w:t>
      </w:r>
      <w:r>
        <w:rPr>
          <w:color w:val="1A181A"/>
        </w:rPr>
        <w:t>will</w:t>
      </w:r>
      <w:r>
        <w:rPr>
          <w:color w:val="1A181A"/>
          <w:spacing w:val="-4"/>
        </w:rPr>
        <w:t> </w:t>
      </w:r>
      <w:r>
        <w:rPr>
          <w:color w:val="1A181A"/>
        </w:rPr>
        <w:t>be included in the new reporting, and Ms. Wolitzky inquired how much CHIA is coordinating with outside agencies and organizations with its work.</w:t>
      </w:r>
    </w:p>
    <w:p>
      <w:pPr>
        <w:pStyle w:val="BodyText"/>
        <w:spacing w:before="1"/>
        <w:ind w:left="0"/>
      </w:pPr>
    </w:p>
    <w:p>
      <w:pPr>
        <w:pStyle w:val="BodyText"/>
        <w:ind w:right="149"/>
      </w:pPr>
      <w:r>
        <w:rPr>
          <w:color w:val="1A181A"/>
        </w:rPr>
        <w:t>Next, Council members received an update on CHIA’s work to quantify health and human service workforce issues, including through the Massachusetts Health Care and Human Service Workforce Survey (MHCW). He noted that CHIA is planning to deploy the survey in the first quarter of 2025 and publish</w:t>
      </w:r>
      <w:r>
        <w:rPr>
          <w:color w:val="1A181A"/>
          <w:spacing w:val="-4"/>
        </w:rPr>
        <w:t> </w:t>
      </w:r>
      <w:r>
        <w:rPr>
          <w:color w:val="1A181A"/>
        </w:rPr>
        <w:t>results</w:t>
      </w:r>
      <w:r>
        <w:rPr>
          <w:color w:val="1A181A"/>
          <w:spacing w:val="-2"/>
        </w:rPr>
        <w:t> </w:t>
      </w:r>
      <w:r>
        <w:rPr>
          <w:color w:val="1A181A"/>
        </w:rPr>
        <w:t>later</w:t>
      </w:r>
      <w:r>
        <w:rPr>
          <w:color w:val="1A181A"/>
          <w:spacing w:val="-1"/>
        </w:rPr>
        <w:t> </w:t>
      </w:r>
      <w:r>
        <w:rPr>
          <w:color w:val="1A181A"/>
        </w:rPr>
        <w:t>in</w:t>
      </w:r>
      <w:r>
        <w:rPr>
          <w:color w:val="1A181A"/>
          <w:spacing w:val="-4"/>
        </w:rPr>
        <w:t> </w:t>
      </w:r>
      <w:r>
        <w:rPr>
          <w:color w:val="1A181A"/>
        </w:rPr>
        <w:t>the</w:t>
      </w:r>
      <w:r>
        <w:rPr>
          <w:color w:val="1A181A"/>
          <w:spacing w:val="-5"/>
        </w:rPr>
        <w:t> </w:t>
      </w:r>
      <w:r>
        <w:rPr>
          <w:color w:val="1A181A"/>
        </w:rPr>
        <w:t>calendar</w:t>
      </w:r>
      <w:r>
        <w:rPr>
          <w:color w:val="1A181A"/>
          <w:spacing w:val="-4"/>
        </w:rPr>
        <w:t> </w:t>
      </w:r>
      <w:r>
        <w:rPr>
          <w:color w:val="1A181A"/>
        </w:rPr>
        <w:t>year.</w:t>
      </w:r>
      <w:r>
        <w:rPr>
          <w:color w:val="1A181A"/>
          <w:spacing w:val="-2"/>
        </w:rPr>
        <w:t> </w:t>
      </w:r>
      <w:r>
        <w:rPr>
          <w:color w:val="1A181A"/>
        </w:rPr>
        <w:t>Council</w:t>
      </w:r>
      <w:r>
        <w:rPr>
          <w:color w:val="1A181A"/>
          <w:spacing w:val="-5"/>
        </w:rPr>
        <w:t> </w:t>
      </w:r>
      <w:r>
        <w:rPr>
          <w:color w:val="1A181A"/>
        </w:rPr>
        <w:t>members</w:t>
      </w:r>
      <w:r>
        <w:rPr>
          <w:color w:val="1A181A"/>
          <w:spacing w:val="-1"/>
        </w:rPr>
        <w:t> </w:t>
      </w:r>
      <w:r>
        <w:rPr>
          <w:color w:val="1A181A"/>
        </w:rPr>
        <w:t>walked</w:t>
      </w:r>
      <w:r>
        <w:rPr>
          <w:color w:val="1A181A"/>
          <w:spacing w:val="-4"/>
        </w:rPr>
        <w:t> </w:t>
      </w:r>
      <w:r>
        <w:rPr>
          <w:color w:val="1A181A"/>
        </w:rPr>
        <w:t>through</w:t>
      </w:r>
      <w:r>
        <w:rPr>
          <w:color w:val="1A181A"/>
          <w:spacing w:val="-4"/>
        </w:rPr>
        <w:t> </w:t>
      </w:r>
      <w:r>
        <w:rPr>
          <w:color w:val="1A181A"/>
        </w:rPr>
        <w:t>the</w:t>
      </w:r>
      <w:r>
        <w:rPr>
          <w:color w:val="1A181A"/>
          <w:spacing w:val="-4"/>
        </w:rPr>
        <w:t> </w:t>
      </w:r>
      <w:r>
        <w:rPr>
          <w:color w:val="1A181A"/>
        </w:rPr>
        <w:t>workforce</w:t>
      </w:r>
      <w:r>
        <w:rPr>
          <w:color w:val="1A181A"/>
          <w:spacing w:val="-4"/>
        </w:rPr>
        <w:t> </w:t>
      </w:r>
      <w:r>
        <w:rPr>
          <w:color w:val="1A181A"/>
        </w:rPr>
        <w:t>problems</w:t>
      </w:r>
      <w:r>
        <w:rPr>
          <w:color w:val="1A181A"/>
          <w:spacing w:val="-3"/>
        </w:rPr>
        <w:t> </w:t>
      </w:r>
      <w:r>
        <w:rPr>
          <w:color w:val="1A181A"/>
        </w:rPr>
        <w:t>facing the nursing home sector, and whether CHIA has data on the current shortfall of staff and what remedies</w:t>
      </w:r>
      <w:r>
        <w:rPr>
          <w:color w:val="1A181A"/>
        </w:rPr>
        <w:t> to</w:t>
      </w:r>
      <w:r>
        <w:rPr>
          <w:color w:val="1A181A"/>
          <w:spacing w:val="-4"/>
        </w:rPr>
        <w:t> </w:t>
      </w:r>
      <w:r>
        <w:rPr>
          <w:color w:val="1A181A"/>
        </w:rPr>
        <w:t>pursue</w:t>
      </w:r>
      <w:r>
        <w:rPr>
          <w:color w:val="1A181A"/>
          <w:spacing w:val="-1"/>
        </w:rPr>
        <w:t> </w:t>
      </w:r>
      <w:r>
        <w:rPr>
          <w:color w:val="1A181A"/>
        </w:rPr>
        <w:t>to</w:t>
      </w:r>
      <w:r>
        <w:rPr>
          <w:color w:val="1A181A"/>
          <w:spacing w:val="-2"/>
        </w:rPr>
        <w:t> </w:t>
      </w:r>
      <w:r>
        <w:rPr>
          <w:color w:val="1A181A"/>
        </w:rPr>
        <w:t>address</w:t>
      </w:r>
      <w:r>
        <w:rPr>
          <w:color w:val="1A181A"/>
          <w:spacing w:val="-2"/>
        </w:rPr>
        <w:t> </w:t>
      </w:r>
      <w:r>
        <w:rPr>
          <w:color w:val="1A181A"/>
        </w:rPr>
        <w:t>the</w:t>
      </w:r>
      <w:r>
        <w:rPr>
          <w:color w:val="1A181A"/>
          <w:spacing w:val="-3"/>
        </w:rPr>
        <w:t> </w:t>
      </w:r>
      <w:r>
        <w:rPr>
          <w:color w:val="1A181A"/>
        </w:rPr>
        <w:t>issue. Ms.</w:t>
      </w:r>
      <w:r>
        <w:rPr>
          <w:color w:val="1A181A"/>
          <w:spacing w:val="-1"/>
        </w:rPr>
        <w:t> </w:t>
      </w:r>
      <w:r>
        <w:rPr>
          <w:color w:val="1A181A"/>
        </w:rPr>
        <w:t>Peters</w:t>
      </w:r>
      <w:r>
        <w:rPr>
          <w:color w:val="1A181A"/>
          <w:spacing w:val="-1"/>
        </w:rPr>
        <w:t> </w:t>
      </w:r>
      <w:r>
        <w:rPr>
          <w:color w:val="1A181A"/>
        </w:rPr>
        <w:t>noted</w:t>
      </w:r>
      <w:r>
        <w:rPr>
          <w:color w:val="1A181A"/>
          <w:spacing w:val="-3"/>
        </w:rPr>
        <w:t> </w:t>
      </w:r>
      <w:r>
        <w:rPr>
          <w:color w:val="1A181A"/>
        </w:rPr>
        <w:t>that</w:t>
      </w:r>
      <w:r>
        <w:rPr>
          <w:color w:val="1A181A"/>
          <w:spacing w:val="-1"/>
        </w:rPr>
        <w:t> </w:t>
      </w:r>
      <w:r>
        <w:rPr>
          <w:color w:val="1A181A"/>
        </w:rPr>
        <w:t>CHIA</w:t>
      </w:r>
      <w:r>
        <w:rPr>
          <w:color w:val="1A181A"/>
          <w:spacing w:val="-1"/>
        </w:rPr>
        <w:t> </w:t>
      </w:r>
      <w:r>
        <w:rPr>
          <w:color w:val="1A181A"/>
        </w:rPr>
        <w:t>has</w:t>
      </w:r>
      <w:r>
        <w:rPr>
          <w:color w:val="1A181A"/>
          <w:spacing w:val="-2"/>
        </w:rPr>
        <w:t> </w:t>
      </w:r>
      <w:r>
        <w:rPr>
          <w:color w:val="1A181A"/>
        </w:rPr>
        <w:t>some</w:t>
      </w:r>
      <w:r>
        <w:rPr>
          <w:color w:val="1A181A"/>
          <w:spacing w:val="-3"/>
        </w:rPr>
        <w:t> </w:t>
      </w:r>
      <w:r>
        <w:rPr>
          <w:color w:val="1A181A"/>
        </w:rPr>
        <w:t>of</w:t>
      </w:r>
      <w:r>
        <w:rPr>
          <w:color w:val="1A181A"/>
          <w:spacing w:val="-1"/>
        </w:rPr>
        <w:t> </w:t>
      </w:r>
      <w:r>
        <w:rPr>
          <w:color w:val="1A181A"/>
        </w:rPr>
        <w:t>this data,</w:t>
      </w:r>
      <w:r>
        <w:rPr>
          <w:color w:val="1A181A"/>
          <w:spacing w:val="-3"/>
        </w:rPr>
        <w:t> </w:t>
      </w:r>
      <w:r>
        <w:rPr>
          <w:color w:val="1A181A"/>
        </w:rPr>
        <w:t>but</w:t>
      </w:r>
      <w:r>
        <w:rPr>
          <w:color w:val="1A181A"/>
          <w:spacing w:val="-3"/>
        </w:rPr>
        <w:t> </w:t>
      </w:r>
      <w:r>
        <w:rPr>
          <w:color w:val="1A181A"/>
        </w:rPr>
        <w:t>the</w:t>
      </w:r>
      <w:r>
        <w:rPr>
          <w:color w:val="1A181A"/>
          <w:spacing w:val="-2"/>
        </w:rPr>
        <w:t> </w:t>
      </w:r>
      <w:r>
        <w:rPr>
          <w:color w:val="1A181A"/>
        </w:rPr>
        <w:t>agency’s</w:t>
      </w:r>
      <w:r>
        <w:rPr>
          <w:color w:val="1A181A"/>
          <w:spacing w:val="-2"/>
        </w:rPr>
        <w:t> </w:t>
      </w:r>
      <w:r>
        <w:rPr>
          <w:color w:val="1A181A"/>
        </w:rPr>
        <w:t>aim</w:t>
      </w:r>
      <w:r>
        <w:rPr>
          <w:color w:val="1A181A"/>
          <w:spacing w:val="-3"/>
        </w:rPr>
        <w:t> </w:t>
      </w:r>
      <w:r>
        <w:rPr>
          <w:color w:val="1A181A"/>
        </w:rPr>
        <w:t>is to share its information with policymakers rather than prescribe solutions. Ms. Yang called out the importance of measuring the impact of contract staff on the quality of care and services.</w:t>
      </w:r>
    </w:p>
    <w:p>
      <w:pPr>
        <w:pStyle w:val="BodyText"/>
        <w:spacing w:before="229"/>
      </w:pPr>
      <w:r>
        <w:rPr>
          <w:color w:val="1A181A"/>
        </w:rPr>
        <w:t>Mr.</w:t>
      </w:r>
      <w:r>
        <w:rPr>
          <w:color w:val="1A181A"/>
          <w:spacing w:val="-7"/>
        </w:rPr>
        <w:t> </w:t>
      </w:r>
      <w:r>
        <w:rPr>
          <w:color w:val="1A181A"/>
        </w:rPr>
        <w:t>Jackmauh</w:t>
      </w:r>
      <w:r>
        <w:rPr>
          <w:color w:val="1A181A"/>
          <w:spacing w:val="-7"/>
        </w:rPr>
        <w:t> </w:t>
      </w:r>
      <w:r>
        <w:rPr>
          <w:color w:val="1A181A"/>
        </w:rPr>
        <w:t>then</w:t>
      </w:r>
      <w:r>
        <w:rPr>
          <w:color w:val="1A181A"/>
          <w:spacing w:val="-7"/>
        </w:rPr>
        <w:t> </w:t>
      </w:r>
      <w:r>
        <w:rPr>
          <w:color w:val="1A181A"/>
        </w:rPr>
        <w:t>moved</w:t>
      </w:r>
      <w:r>
        <w:rPr>
          <w:color w:val="1A181A"/>
          <w:spacing w:val="-6"/>
        </w:rPr>
        <w:t> </w:t>
      </w:r>
      <w:r>
        <w:rPr>
          <w:color w:val="1A181A"/>
        </w:rPr>
        <w:t>on</w:t>
      </w:r>
      <w:r>
        <w:rPr>
          <w:color w:val="1A181A"/>
          <w:spacing w:val="-8"/>
        </w:rPr>
        <w:t> </w:t>
      </w:r>
      <w:r>
        <w:rPr>
          <w:color w:val="1A181A"/>
        </w:rPr>
        <w:t>to</w:t>
      </w:r>
      <w:r>
        <w:rPr>
          <w:color w:val="1A181A"/>
          <w:spacing w:val="-5"/>
        </w:rPr>
        <w:t> </w:t>
      </w:r>
      <w:r>
        <w:rPr>
          <w:color w:val="1A181A"/>
        </w:rPr>
        <w:t>reviewing</w:t>
      </w:r>
      <w:r>
        <w:rPr>
          <w:color w:val="1A181A"/>
          <w:spacing w:val="-7"/>
        </w:rPr>
        <w:t> </w:t>
      </w:r>
      <w:r>
        <w:rPr>
          <w:color w:val="1A181A"/>
        </w:rPr>
        <w:t>CHIA’s</w:t>
      </w:r>
      <w:r>
        <w:rPr>
          <w:color w:val="1A181A"/>
          <w:spacing w:val="-4"/>
        </w:rPr>
        <w:t> </w:t>
      </w:r>
      <w:r>
        <w:rPr>
          <w:color w:val="1A181A"/>
        </w:rPr>
        <w:t>primary</w:t>
      </w:r>
      <w:r>
        <w:rPr>
          <w:color w:val="1A181A"/>
          <w:spacing w:val="-6"/>
        </w:rPr>
        <w:t> </w:t>
      </w:r>
      <w:r>
        <w:rPr>
          <w:color w:val="1A181A"/>
        </w:rPr>
        <w:t>care</w:t>
      </w:r>
      <w:r>
        <w:rPr>
          <w:color w:val="1A181A"/>
          <w:spacing w:val="-2"/>
        </w:rPr>
        <w:t> </w:t>
      </w:r>
      <w:r>
        <w:rPr>
          <w:color w:val="1A181A"/>
        </w:rPr>
        <w:t>efforts.</w:t>
      </w:r>
      <w:r>
        <w:rPr>
          <w:color w:val="1A181A"/>
          <w:spacing w:val="-7"/>
        </w:rPr>
        <w:t> </w:t>
      </w:r>
      <w:r>
        <w:rPr>
          <w:color w:val="1A181A"/>
        </w:rPr>
        <w:t>He</w:t>
      </w:r>
      <w:r>
        <w:rPr>
          <w:color w:val="1A181A"/>
          <w:spacing w:val="-7"/>
        </w:rPr>
        <w:t> </w:t>
      </w:r>
      <w:r>
        <w:rPr>
          <w:color w:val="1A181A"/>
        </w:rPr>
        <w:t>reminded</w:t>
      </w:r>
      <w:r>
        <w:rPr>
          <w:color w:val="1A181A"/>
          <w:spacing w:val="-7"/>
        </w:rPr>
        <w:t> </w:t>
      </w:r>
      <w:r>
        <w:rPr>
          <w:color w:val="1A181A"/>
        </w:rPr>
        <w:t>the</w:t>
      </w:r>
      <w:r>
        <w:rPr>
          <w:color w:val="1A181A"/>
          <w:spacing w:val="-8"/>
        </w:rPr>
        <w:t> </w:t>
      </w:r>
      <w:r>
        <w:rPr>
          <w:color w:val="1A181A"/>
        </w:rPr>
        <w:t>Council</w:t>
      </w:r>
      <w:r>
        <w:rPr>
          <w:color w:val="1A181A"/>
          <w:spacing w:val="-6"/>
        </w:rPr>
        <w:t> </w:t>
      </w:r>
      <w:r>
        <w:rPr>
          <w:color w:val="1A181A"/>
          <w:spacing w:val="-5"/>
        </w:rPr>
        <w:t>of</w:t>
      </w:r>
    </w:p>
    <w:p>
      <w:pPr>
        <w:pStyle w:val="BodyText"/>
        <w:spacing w:line="259" w:lineRule="auto" w:before="20"/>
        <w:ind w:right="183"/>
      </w:pPr>
      <w:r>
        <w:rPr>
          <w:color w:val="1A181A"/>
        </w:rPr>
        <w:t>CHIA’s current</w:t>
      </w:r>
      <w:r>
        <w:rPr>
          <w:color w:val="1A181A"/>
          <w:spacing w:val="-1"/>
        </w:rPr>
        <w:t> </w:t>
      </w:r>
      <w:r>
        <w:rPr>
          <w:color w:val="1A181A"/>
        </w:rPr>
        <w:t>efforts in</w:t>
      </w:r>
      <w:r>
        <w:rPr>
          <w:color w:val="1A181A"/>
          <w:spacing w:val="-1"/>
        </w:rPr>
        <w:t> </w:t>
      </w:r>
      <w:r>
        <w:rPr>
          <w:color w:val="1A181A"/>
        </w:rPr>
        <w:t>this area,</w:t>
      </w:r>
      <w:r>
        <w:rPr>
          <w:color w:val="1A181A"/>
          <w:spacing w:val="-1"/>
        </w:rPr>
        <w:t> </w:t>
      </w:r>
      <w:r>
        <w:rPr>
          <w:color w:val="1A181A"/>
        </w:rPr>
        <w:t>including</w:t>
      </w:r>
      <w:r>
        <w:rPr>
          <w:color w:val="1A181A"/>
          <w:spacing w:val="-2"/>
        </w:rPr>
        <w:t> </w:t>
      </w:r>
      <w:r>
        <w:rPr>
          <w:color w:val="1A181A"/>
        </w:rPr>
        <w:t>the annual release of a</w:t>
      </w:r>
      <w:r>
        <w:rPr>
          <w:color w:val="1A181A"/>
          <w:spacing w:val="-1"/>
        </w:rPr>
        <w:t> </w:t>
      </w:r>
      <w:r>
        <w:rPr>
          <w:color w:val="1A181A"/>
        </w:rPr>
        <w:t>primary care dashboard,</w:t>
      </w:r>
      <w:r>
        <w:rPr>
          <w:color w:val="1A181A"/>
          <w:spacing w:val="-1"/>
        </w:rPr>
        <w:t> </w:t>
      </w:r>
      <w:r>
        <w:rPr>
          <w:color w:val="1A181A"/>
        </w:rPr>
        <w:t>as well</w:t>
      </w:r>
      <w:r>
        <w:rPr>
          <w:color w:val="1A181A"/>
          <w:spacing w:val="-2"/>
        </w:rPr>
        <w:t> </w:t>
      </w:r>
      <w:r>
        <w:rPr>
          <w:color w:val="1A181A"/>
        </w:rPr>
        <w:t>as a report on primary care spending. Mr. Jackmauh noted that going forward the MHCW survey will also include data from primary care practices. He walked through the feedback that CHIA had received previously</w:t>
      </w:r>
      <w:r>
        <w:rPr>
          <w:color w:val="1A181A"/>
          <w:spacing w:val="-4"/>
        </w:rPr>
        <w:t> </w:t>
      </w:r>
      <w:r>
        <w:rPr>
          <w:color w:val="1A181A"/>
        </w:rPr>
        <w:t>from</w:t>
      </w:r>
      <w:r>
        <w:rPr>
          <w:color w:val="1A181A"/>
          <w:spacing w:val="-5"/>
        </w:rPr>
        <w:t> </w:t>
      </w:r>
      <w:r>
        <w:rPr>
          <w:color w:val="1A181A"/>
        </w:rPr>
        <w:t>the</w:t>
      </w:r>
      <w:r>
        <w:rPr>
          <w:color w:val="1A181A"/>
          <w:spacing w:val="-6"/>
        </w:rPr>
        <w:t> </w:t>
      </w:r>
      <w:r>
        <w:rPr>
          <w:color w:val="1A181A"/>
        </w:rPr>
        <w:t>Council,</w:t>
      </w:r>
      <w:r>
        <w:rPr>
          <w:color w:val="1A181A"/>
          <w:spacing w:val="-5"/>
        </w:rPr>
        <w:t> </w:t>
      </w:r>
      <w:r>
        <w:rPr>
          <w:color w:val="1A181A"/>
        </w:rPr>
        <w:t>including</w:t>
      </w:r>
      <w:r>
        <w:rPr>
          <w:color w:val="1A181A"/>
          <w:spacing w:val="-3"/>
        </w:rPr>
        <w:t> </w:t>
      </w:r>
      <w:r>
        <w:rPr>
          <w:color w:val="1A181A"/>
        </w:rPr>
        <w:t>reporting</w:t>
      </w:r>
      <w:r>
        <w:rPr>
          <w:color w:val="1A181A"/>
          <w:spacing w:val="-3"/>
        </w:rPr>
        <w:t> </w:t>
      </w:r>
      <w:r>
        <w:rPr>
          <w:color w:val="1A181A"/>
        </w:rPr>
        <w:t>on</w:t>
      </w:r>
      <w:r>
        <w:rPr>
          <w:color w:val="1A181A"/>
          <w:spacing w:val="-4"/>
        </w:rPr>
        <w:t> </w:t>
      </w:r>
      <w:r>
        <w:rPr>
          <w:color w:val="1A181A"/>
        </w:rPr>
        <w:t>primary</w:t>
      </w:r>
      <w:r>
        <w:rPr>
          <w:color w:val="1A181A"/>
          <w:spacing w:val="-4"/>
        </w:rPr>
        <w:t> </w:t>
      </w:r>
      <w:r>
        <w:rPr>
          <w:color w:val="1A181A"/>
        </w:rPr>
        <w:t>care</w:t>
      </w:r>
      <w:r>
        <w:rPr>
          <w:color w:val="1A181A"/>
          <w:spacing w:val="-5"/>
        </w:rPr>
        <w:t> </w:t>
      </w:r>
      <w:r>
        <w:rPr>
          <w:color w:val="1A181A"/>
        </w:rPr>
        <w:t>workforce</w:t>
      </w:r>
      <w:r>
        <w:rPr>
          <w:color w:val="1A181A"/>
          <w:spacing w:val="-5"/>
        </w:rPr>
        <w:t> </w:t>
      </w:r>
      <w:r>
        <w:rPr>
          <w:color w:val="1A181A"/>
        </w:rPr>
        <w:t>supply</w:t>
      </w:r>
      <w:r>
        <w:rPr>
          <w:color w:val="1A181A"/>
          <w:spacing w:val="-1"/>
        </w:rPr>
        <w:t> </w:t>
      </w:r>
      <w:r>
        <w:rPr>
          <w:color w:val="1A181A"/>
        </w:rPr>
        <w:t>versus</w:t>
      </w:r>
      <w:r>
        <w:rPr>
          <w:color w:val="1A181A"/>
          <w:spacing w:val="-4"/>
        </w:rPr>
        <w:t> </w:t>
      </w:r>
      <w:r>
        <w:rPr>
          <w:color w:val="1A181A"/>
        </w:rPr>
        <w:t>demand,</w:t>
      </w:r>
      <w:r>
        <w:rPr>
          <w:color w:val="1A181A"/>
          <w:spacing w:val="-3"/>
        </w:rPr>
        <w:t> </w:t>
      </w:r>
      <w:r>
        <w:rPr>
          <w:color w:val="1A181A"/>
        </w:rPr>
        <w:t>among others. Ms. Lake asked for detail around the availability of data in this area, such as whether regional analysis of</w:t>
      </w:r>
      <w:r>
        <w:rPr>
          <w:color w:val="1A181A"/>
          <w:spacing w:val="-1"/>
        </w:rPr>
        <w:t> </w:t>
      </w:r>
      <w:r>
        <w:rPr>
          <w:color w:val="1A181A"/>
        </w:rPr>
        <w:t>primary care</w:t>
      </w:r>
      <w:r>
        <w:rPr>
          <w:color w:val="1A181A"/>
          <w:spacing w:val="-1"/>
        </w:rPr>
        <w:t> </w:t>
      </w:r>
      <w:r>
        <w:rPr>
          <w:color w:val="1A181A"/>
        </w:rPr>
        <w:t>access is an</w:t>
      </w:r>
      <w:r>
        <w:rPr>
          <w:color w:val="1A181A"/>
          <w:spacing w:val="-2"/>
        </w:rPr>
        <w:t> </w:t>
      </w:r>
      <w:r>
        <w:rPr>
          <w:color w:val="1A181A"/>
        </w:rPr>
        <w:t>option</w:t>
      </w:r>
      <w:r>
        <w:rPr>
          <w:color w:val="1A181A"/>
          <w:spacing w:val="-1"/>
        </w:rPr>
        <w:t> </w:t>
      </w:r>
      <w:r>
        <w:rPr>
          <w:color w:val="1A181A"/>
        </w:rPr>
        <w:t>to explore geographic equity, and the impact</w:t>
      </w:r>
      <w:r>
        <w:rPr>
          <w:color w:val="1A181A"/>
          <w:spacing w:val="-1"/>
        </w:rPr>
        <w:t> </w:t>
      </w:r>
      <w:r>
        <w:rPr>
          <w:color w:val="1A181A"/>
        </w:rPr>
        <w:t>of primary care providers moving into concierge practices. Mr. Sager also asked that CHIA provide a summary of the various sources of information on primary care, specifically on the number of providers, number of primary care visits per year, payer mix, measures of capacity, and responsiveness, including number of providers accepting new patients, well visit waitlists and time to appointment, and responsiveness. Ms.</w:t>
      </w:r>
    </w:p>
    <w:p>
      <w:pPr>
        <w:pStyle w:val="BodyText"/>
        <w:spacing w:line="228" w:lineRule="exact"/>
      </w:pPr>
      <w:r>
        <w:rPr>
          <w:color w:val="1A181A"/>
        </w:rPr>
        <w:t>Peters</w:t>
      </w:r>
      <w:r>
        <w:rPr>
          <w:color w:val="1A181A"/>
          <w:spacing w:val="-7"/>
        </w:rPr>
        <w:t> </w:t>
      </w:r>
      <w:r>
        <w:rPr>
          <w:color w:val="1A181A"/>
        </w:rPr>
        <w:t>agreed</w:t>
      </w:r>
      <w:r>
        <w:rPr>
          <w:color w:val="1A181A"/>
          <w:spacing w:val="-7"/>
        </w:rPr>
        <w:t> </w:t>
      </w:r>
      <w:r>
        <w:rPr>
          <w:color w:val="1A181A"/>
        </w:rPr>
        <w:t>to</w:t>
      </w:r>
      <w:r>
        <w:rPr>
          <w:color w:val="1A181A"/>
          <w:spacing w:val="-8"/>
        </w:rPr>
        <w:t> </w:t>
      </w:r>
      <w:r>
        <w:rPr>
          <w:color w:val="1A181A"/>
        </w:rPr>
        <w:t>share</w:t>
      </w:r>
      <w:r>
        <w:rPr>
          <w:color w:val="1A181A"/>
          <w:spacing w:val="-7"/>
        </w:rPr>
        <w:t> </w:t>
      </w:r>
      <w:r>
        <w:rPr>
          <w:color w:val="1A181A"/>
        </w:rPr>
        <w:t>as</w:t>
      </w:r>
      <w:r>
        <w:rPr>
          <w:color w:val="1A181A"/>
          <w:spacing w:val="-5"/>
        </w:rPr>
        <w:t> </w:t>
      </w:r>
      <w:r>
        <w:rPr>
          <w:color w:val="1A181A"/>
        </w:rPr>
        <w:t>much</w:t>
      </w:r>
      <w:r>
        <w:rPr>
          <w:color w:val="1A181A"/>
          <w:spacing w:val="-7"/>
        </w:rPr>
        <w:t> </w:t>
      </w:r>
      <w:r>
        <w:rPr>
          <w:color w:val="1A181A"/>
        </w:rPr>
        <w:t>information</w:t>
      </w:r>
      <w:r>
        <w:rPr>
          <w:color w:val="1A181A"/>
          <w:spacing w:val="-7"/>
        </w:rPr>
        <w:t> </w:t>
      </w:r>
      <w:r>
        <w:rPr>
          <w:color w:val="1A181A"/>
        </w:rPr>
        <w:t>as</w:t>
      </w:r>
      <w:r>
        <w:rPr>
          <w:color w:val="1A181A"/>
          <w:spacing w:val="-6"/>
        </w:rPr>
        <w:t> </w:t>
      </w:r>
      <w:r>
        <w:rPr>
          <w:color w:val="1A181A"/>
        </w:rPr>
        <w:t>possible</w:t>
      </w:r>
      <w:r>
        <w:rPr>
          <w:color w:val="1A181A"/>
          <w:spacing w:val="-7"/>
        </w:rPr>
        <w:t> </w:t>
      </w:r>
      <w:r>
        <w:rPr>
          <w:color w:val="1A181A"/>
        </w:rPr>
        <w:t>before</w:t>
      </w:r>
      <w:r>
        <w:rPr>
          <w:color w:val="1A181A"/>
          <w:spacing w:val="-6"/>
        </w:rPr>
        <w:t> </w:t>
      </w:r>
      <w:r>
        <w:rPr>
          <w:color w:val="1A181A"/>
        </w:rPr>
        <w:t>the</w:t>
      </w:r>
      <w:r>
        <w:rPr>
          <w:color w:val="1A181A"/>
          <w:spacing w:val="-7"/>
        </w:rPr>
        <w:t> </w:t>
      </w:r>
      <w:r>
        <w:rPr>
          <w:color w:val="1A181A"/>
        </w:rPr>
        <w:t>next</w:t>
      </w:r>
      <w:r>
        <w:rPr>
          <w:color w:val="1A181A"/>
          <w:spacing w:val="-7"/>
        </w:rPr>
        <w:t> </w:t>
      </w:r>
      <w:r>
        <w:rPr>
          <w:color w:val="1A181A"/>
        </w:rPr>
        <w:t>Council</w:t>
      </w:r>
      <w:r>
        <w:rPr>
          <w:color w:val="1A181A"/>
          <w:spacing w:val="-6"/>
        </w:rPr>
        <w:t> </w:t>
      </w:r>
      <w:r>
        <w:rPr>
          <w:color w:val="1A181A"/>
          <w:spacing w:val="-2"/>
        </w:rPr>
        <w:t>meeting.</w:t>
      </w:r>
    </w:p>
    <w:p>
      <w:pPr>
        <w:pStyle w:val="BodyText"/>
        <w:spacing w:before="17"/>
        <w:ind w:left="0"/>
      </w:pPr>
    </w:p>
    <w:p>
      <w:pPr>
        <w:pStyle w:val="BodyText"/>
        <w:spacing w:before="1"/>
      </w:pPr>
      <w:r>
        <w:rPr>
          <w:color w:val="1A181A"/>
        </w:rPr>
        <w:t>Council members then received</w:t>
      </w:r>
      <w:r>
        <w:rPr>
          <w:color w:val="1A181A"/>
          <w:spacing w:val="-1"/>
        </w:rPr>
        <w:t> </w:t>
      </w:r>
      <w:r>
        <w:rPr>
          <w:color w:val="1A181A"/>
        </w:rPr>
        <w:t>a brief update on CHIA’s behavioral health work. Mr. Jackmauh walked through CHIA’s work related to behavioral health, noting that the efforts are similar to the primary care analytical</w:t>
      </w:r>
      <w:r>
        <w:rPr>
          <w:color w:val="1A181A"/>
          <w:spacing w:val="-3"/>
        </w:rPr>
        <w:t> </w:t>
      </w:r>
      <w:r>
        <w:rPr>
          <w:color w:val="1A181A"/>
        </w:rPr>
        <w:t>work.</w:t>
      </w:r>
      <w:r>
        <w:rPr>
          <w:color w:val="1A181A"/>
          <w:spacing w:val="-3"/>
        </w:rPr>
        <w:t> </w:t>
      </w:r>
      <w:r>
        <w:rPr>
          <w:color w:val="1A181A"/>
        </w:rPr>
        <w:t>Ms.</w:t>
      </w:r>
      <w:r>
        <w:rPr>
          <w:color w:val="1A181A"/>
          <w:spacing w:val="-2"/>
        </w:rPr>
        <w:t> </w:t>
      </w:r>
      <w:r>
        <w:rPr>
          <w:color w:val="1A181A"/>
        </w:rPr>
        <w:t>Yang</w:t>
      </w:r>
      <w:r>
        <w:rPr>
          <w:color w:val="1A181A"/>
          <w:spacing w:val="-4"/>
        </w:rPr>
        <w:t> </w:t>
      </w:r>
      <w:r>
        <w:rPr>
          <w:color w:val="1A181A"/>
        </w:rPr>
        <w:t>raised</w:t>
      </w:r>
      <w:r>
        <w:rPr>
          <w:color w:val="1A181A"/>
          <w:spacing w:val="-1"/>
        </w:rPr>
        <w:t> </w:t>
      </w:r>
      <w:r>
        <w:rPr>
          <w:color w:val="1A181A"/>
        </w:rPr>
        <w:t>the</w:t>
      </w:r>
      <w:r>
        <w:rPr>
          <w:color w:val="1A181A"/>
          <w:spacing w:val="-3"/>
        </w:rPr>
        <w:t> </w:t>
      </w:r>
      <w:r>
        <w:rPr>
          <w:color w:val="1A181A"/>
        </w:rPr>
        <w:t>issue</w:t>
      </w:r>
      <w:r>
        <w:rPr>
          <w:color w:val="1A181A"/>
          <w:spacing w:val="-5"/>
        </w:rPr>
        <w:t> </w:t>
      </w:r>
      <w:r>
        <w:rPr>
          <w:color w:val="1A181A"/>
        </w:rPr>
        <w:t>of</w:t>
      </w:r>
      <w:r>
        <w:rPr>
          <w:color w:val="1A181A"/>
          <w:spacing w:val="-4"/>
        </w:rPr>
        <w:t> </w:t>
      </w:r>
      <w:r>
        <w:rPr>
          <w:color w:val="1A181A"/>
        </w:rPr>
        <w:t>exploring</w:t>
      </w:r>
      <w:r>
        <w:rPr>
          <w:color w:val="1A181A"/>
          <w:spacing w:val="-2"/>
        </w:rPr>
        <w:t> </w:t>
      </w:r>
      <w:r>
        <w:rPr>
          <w:color w:val="1A181A"/>
        </w:rPr>
        <w:t>the</w:t>
      </w:r>
      <w:r>
        <w:rPr>
          <w:color w:val="1A181A"/>
          <w:spacing w:val="-2"/>
        </w:rPr>
        <w:t> </w:t>
      </w:r>
      <w:r>
        <w:rPr>
          <w:color w:val="1A181A"/>
        </w:rPr>
        <w:t>quality</w:t>
      </w:r>
      <w:r>
        <w:rPr>
          <w:color w:val="1A181A"/>
          <w:spacing w:val="-1"/>
        </w:rPr>
        <w:t> </w:t>
      </w:r>
      <w:r>
        <w:rPr>
          <w:color w:val="1A181A"/>
        </w:rPr>
        <w:t>of</w:t>
      </w:r>
      <w:r>
        <w:rPr>
          <w:color w:val="1A181A"/>
          <w:spacing w:val="-4"/>
        </w:rPr>
        <w:t> </w:t>
      </w:r>
      <w:r>
        <w:rPr>
          <w:color w:val="1A181A"/>
        </w:rPr>
        <w:t>behavioral</w:t>
      </w:r>
      <w:r>
        <w:rPr>
          <w:color w:val="1A181A"/>
          <w:spacing w:val="-2"/>
        </w:rPr>
        <w:t> </w:t>
      </w:r>
      <w:r>
        <w:rPr>
          <w:color w:val="1A181A"/>
        </w:rPr>
        <w:t>health</w:t>
      </w:r>
      <w:r>
        <w:rPr>
          <w:color w:val="1A181A"/>
          <w:spacing w:val="-2"/>
        </w:rPr>
        <w:t> </w:t>
      </w:r>
      <w:r>
        <w:rPr>
          <w:color w:val="1A181A"/>
        </w:rPr>
        <w:t>care</w:t>
      </w:r>
      <w:r>
        <w:rPr>
          <w:color w:val="1A181A"/>
          <w:spacing w:val="-4"/>
        </w:rPr>
        <w:t> </w:t>
      </w:r>
      <w:r>
        <w:rPr>
          <w:color w:val="1A181A"/>
        </w:rPr>
        <w:t>in</w:t>
      </w:r>
      <w:r>
        <w:rPr>
          <w:color w:val="1A181A"/>
          <w:spacing w:val="-4"/>
        </w:rPr>
        <w:t> </w:t>
      </w:r>
      <w:r>
        <w:rPr>
          <w:color w:val="1A181A"/>
        </w:rPr>
        <w:t>addition</w:t>
      </w:r>
      <w:r>
        <w:rPr>
          <w:color w:val="1A181A"/>
          <w:spacing w:val="-4"/>
        </w:rPr>
        <w:t> </w:t>
      </w:r>
      <w:r>
        <w:rPr>
          <w:color w:val="1A181A"/>
        </w:rPr>
        <w:t>to</w:t>
      </w:r>
    </w:p>
    <w:p>
      <w:pPr>
        <w:spacing w:after="0"/>
        <w:sectPr>
          <w:headerReference w:type="default" r:id="rId5"/>
          <w:footerReference w:type="default" r:id="rId6"/>
          <w:type w:val="continuous"/>
          <w:pgSz w:w="12240" w:h="15840"/>
          <w:pgMar w:header="727" w:footer="540" w:top="1640" w:bottom="740" w:left="1340" w:right="1320"/>
          <w:pgNumType w:start="1"/>
        </w:sectPr>
      </w:pPr>
    </w:p>
    <w:p>
      <w:pPr>
        <w:pStyle w:val="BodyText"/>
        <w:spacing w:before="82"/>
        <w:ind w:right="454"/>
      </w:pPr>
      <w:r>
        <w:rPr>
          <w:color w:val="1A181A"/>
        </w:rPr>
        <w:t>studying</w:t>
      </w:r>
      <w:r>
        <w:rPr>
          <w:color w:val="1A181A"/>
          <w:spacing w:val="-2"/>
        </w:rPr>
        <w:t> </w:t>
      </w:r>
      <w:r>
        <w:rPr>
          <w:color w:val="1A181A"/>
        </w:rPr>
        <w:t>access.</w:t>
      </w:r>
      <w:r>
        <w:rPr>
          <w:color w:val="1A181A"/>
          <w:spacing w:val="-3"/>
        </w:rPr>
        <w:t> </w:t>
      </w:r>
      <w:r>
        <w:rPr>
          <w:color w:val="1A181A"/>
        </w:rPr>
        <w:t>Mr.</w:t>
      </w:r>
      <w:r>
        <w:rPr>
          <w:color w:val="1A181A"/>
          <w:spacing w:val="-4"/>
        </w:rPr>
        <w:t> </w:t>
      </w:r>
      <w:r>
        <w:rPr>
          <w:color w:val="1A181A"/>
        </w:rPr>
        <w:t>Sager</w:t>
      </w:r>
      <w:r>
        <w:rPr>
          <w:color w:val="1A181A"/>
          <w:spacing w:val="-1"/>
        </w:rPr>
        <w:t> </w:t>
      </w:r>
      <w:r>
        <w:rPr>
          <w:color w:val="1A181A"/>
        </w:rPr>
        <w:t>and</w:t>
      </w:r>
      <w:r>
        <w:rPr>
          <w:color w:val="1A181A"/>
          <w:spacing w:val="-2"/>
        </w:rPr>
        <w:t> </w:t>
      </w:r>
      <w:r>
        <w:rPr>
          <w:color w:val="1A181A"/>
        </w:rPr>
        <w:t>Dr.</w:t>
      </w:r>
      <w:r>
        <w:rPr>
          <w:color w:val="1A181A"/>
          <w:spacing w:val="-4"/>
        </w:rPr>
        <w:t> </w:t>
      </w:r>
      <w:r>
        <w:rPr>
          <w:color w:val="1A181A"/>
        </w:rPr>
        <w:t>McIntyre</w:t>
      </w:r>
      <w:r>
        <w:rPr>
          <w:color w:val="1A181A"/>
          <w:spacing w:val="-1"/>
        </w:rPr>
        <w:t> </w:t>
      </w:r>
      <w:r>
        <w:rPr>
          <w:color w:val="1A181A"/>
        </w:rPr>
        <w:t>explored</w:t>
      </w:r>
      <w:r>
        <w:rPr>
          <w:color w:val="1A181A"/>
          <w:spacing w:val="-2"/>
        </w:rPr>
        <w:t> </w:t>
      </w:r>
      <w:r>
        <w:rPr>
          <w:color w:val="1A181A"/>
        </w:rPr>
        <w:t>the</w:t>
      </w:r>
      <w:r>
        <w:rPr>
          <w:color w:val="1A181A"/>
          <w:spacing w:val="-4"/>
        </w:rPr>
        <w:t> </w:t>
      </w:r>
      <w:r>
        <w:rPr>
          <w:color w:val="1A181A"/>
        </w:rPr>
        <w:t>payer</w:t>
      </w:r>
      <w:r>
        <w:rPr>
          <w:color w:val="1A181A"/>
          <w:spacing w:val="-4"/>
        </w:rPr>
        <w:t> </w:t>
      </w:r>
      <w:r>
        <w:rPr>
          <w:color w:val="1A181A"/>
        </w:rPr>
        <w:t>mix</w:t>
      </w:r>
      <w:r>
        <w:rPr>
          <w:color w:val="1A181A"/>
          <w:spacing w:val="-3"/>
        </w:rPr>
        <w:t> </w:t>
      </w:r>
      <w:r>
        <w:rPr>
          <w:color w:val="1A181A"/>
        </w:rPr>
        <w:t>of</w:t>
      </w:r>
      <w:r>
        <w:rPr>
          <w:color w:val="1A181A"/>
          <w:spacing w:val="-4"/>
        </w:rPr>
        <w:t> </w:t>
      </w:r>
      <w:r>
        <w:rPr>
          <w:color w:val="1A181A"/>
        </w:rPr>
        <w:t>behavioral</w:t>
      </w:r>
      <w:r>
        <w:rPr>
          <w:color w:val="1A181A"/>
          <w:spacing w:val="-3"/>
        </w:rPr>
        <w:t> </w:t>
      </w:r>
      <w:r>
        <w:rPr>
          <w:color w:val="1A181A"/>
        </w:rPr>
        <w:t>health</w:t>
      </w:r>
      <w:r>
        <w:rPr>
          <w:color w:val="1A181A"/>
          <w:spacing w:val="-2"/>
        </w:rPr>
        <w:t> </w:t>
      </w:r>
      <w:r>
        <w:rPr>
          <w:color w:val="1A181A"/>
        </w:rPr>
        <w:t>providers,</w:t>
      </w:r>
      <w:r>
        <w:rPr>
          <w:color w:val="1A181A"/>
          <w:spacing w:val="-4"/>
        </w:rPr>
        <w:t> </w:t>
      </w:r>
      <w:r>
        <w:rPr>
          <w:color w:val="1A181A"/>
        </w:rPr>
        <w:t>as well as the availability of age stratification in the data.</w:t>
      </w:r>
    </w:p>
    <w:p>
      <w:pPr>
        <w:pStyle w:val="BodyText"/>
        <w:spacing w:before="2"/>
        <w:ind w:left="0"/>
      </w:pPr>
    </w:p>
    <w:p>
      <w:pPr>
        <w:pStyle w:val="BodyText"/>
        <w:ind w:right="172"/>
      </w:pPr>
      <w:r>
        <w:rPr>
          <w:color w:val="1A181A"/>
        </w:rPr>
        <w:t>The Council next heard updates on Access and Affordability. Mr. Jackmauh explained that based on Council</w:t>
      </w:r>
      <w:r>
        <w:rPr>
          <w:color w:val="1A181A"/>
          <w:spacing w:val="-6"/>
        </w:rPr>
        <w:t> </w:t>
      </w:r>
      <w:r>
        <w:rPr>
          <w:color w:val="1A181A"/>
        </w:rPr>
        <w:t>feedback</w:t>
      </w:r>
      <w:r>
        <w:rPr>
          <w:color w:val="1A181A"/>
          <w:spacing w:val="-4"/>
        </w:rPr>
        <w:t> </w:t>
      </w:r>
      <w:r>
        <w:rPr>
          <w:color w:val="1A181A"/>
        </w:rPr>
        <w:t>CHIA</w:t>
      </w:r>
      <w:r>
        <w:rPr>
          <w:color w:val="1A181A"/>
          <w:spacing w:val="-5"/>
        </w:rPr>
        <w:t> </w:t>
      </w:r>
      <w:r>
        <w:rPr>
          <w:color w:val="1A181A"/>
        </w:rPr>
        <w:t>will</w:t>
      </w:r>
      <w:r>
        <w:rPr>
          <w:color w:val="1A181A"/>
          <w:spacing w:val="-4"/>
        </w:rPr>
        <w:t> </w:t>
      </w:r>
      <w:r>
        <w:rPr>
          <w:color w:val="1A181A"/>
        </w:rPr>
        <w:t>be</w:t>
      </w:r>
      <w:r>
        <w:rPr>
          <w:color w:val="1A181A"/>
          <w:spacing w:val="-4"/>
        </w:rPr>
        <w:t> </w:t>
      </w:r>
      <w:r>
        <w:rPr>
          <w:color w:val="1A181A"/>
        </w:rPr>
        <w:t>including</w:t>
      </w:r>
      <w:r>
        <w:rPr>
          <w:color w:val="1A181A"/>
          <w:spacing w:val="-6"/>
        </w:rPr>
        <w:t> </w:t>
      </w:r>
      <w:r>
        <w:rPr>
          <w:color w:val="1A181A"/>
        </w:rPr>
        <w:t>new</w:t>
      </w:r>
      <w:r>
        <w:rPr>
          <w:color w:val="1A181A"/>
          <w:spacing w:val="-3"/>
        </w:rPr>
        <w:t> </w:t>
      </w:r>
      <w:r>
        <w:rPr>
          <w:color w:val="1A181A"/>
        </w:rPr>
        <w:t>questions</w:t>
      </w:r>
      <w:r>
        <w:rPr>
          <w:color w:val="1A181A"/>
          <w:spacing w:val="-4"/>
        </w:rPr>
        <w:t> </w:t>
      </w:r>
      <w:r>
        <w:rPr>
          <w:color w:val="1A181A"/>
        </w:rPr>
        <w:t>on</w:t>
      </w:r>
      <w:r>
        <w:rPr>
          <w:color w:val="1A181A"/>
          <w:spacing w:val="-6"/>
        </w:rPr>
        <w:t> </w:t>
      </w:r>
      <w:r>
        <w:rPr>
          <w:color w:val="1A181A"/>
        </w:rPr>
        <w:t>underinsurance</w:t>
      </w:r>
      <w:r>
        <w:rPr>
          <w:color w:val="1A181A"/>
          <w:spacing w:val="-3"/>
        </w:rPr>
        <w:t> </w:t>
      </w:r>
      <w:r>
        <w:rPr>
          <w:color w:val="1A181A"/>
        </w:rPr>
        <w:t>and</w:t>
      </w:r>
      <w:r>
        <w:rPr>
          <w:color w:val="1A181A"/>
          <w:spacing w:val="-3"/>
        </w:rPr>
        <w:t> </w:t>
      </w:r>
      <w:r>
        <w:rPr>
          <w:color w:val="1A181A"/>
        </w:rPr>
        <w:t>the</w:t>
      </w:r>
      <w:r>
        <w:rPr>
          <w:color w:val="1A181A"/>
          <w:spacing w:val="-5"/>
        </w:rPr>
        <w:t> </w:t>
      </w:r>
      <w:r>
        <w:rPr>
          <w:color w:val="1A181A"/>
        </w:rPr>
        <w:t>administrative</w:t>
      </w:r>
      <w:r>
        <w:rPr>
          <w:color w:val="1A181A"/>
          <w:spacing w:val="-5"/>
        </w:rPr>
        <w:t> </w:t>
      </w:r>
      <w:r>
        <w:rPr>
          <w:color w:val="1A181A"/>
        </w:rPr>
        <w:t>barriers to care to the 2025 Massachusetts Health Insurance Survey (MHIS), in addition to measures on the use of Health Savings Accounts and Health Reimbursement Accounts to pay for medical expenses. CHIA is also looking into the impact of new prescription drugs coming to market. Mr. Jackmauh noted that the</w:t>
      </w:r>
    </w:p>
    <w:p>
      <w:pPr>
        <w:pStyle w:val="BodyText"/>
        <w:spacing w:line="237" w:lineRule="auto" w:before="1"/>
        <w:ind w:right="183"/>
      </w:pPr>
      <w:r>
        <w:rPr>
          <w:color w:val="1A181A"/>
        </w:rPr>
        <w:t>CHIA’s 2025 Annual</w:t>
      </w:r>
      <w:r>
        <w:rPr>
          <w:color w:val="1A181A"/>
          <w:spacing w:val="-1"/>
        </w:rPr>
        <w:t> </w:t>
      </w:r>
      <w:r>
        <w:rPr>
          <w:color w:val="1A181A"/>
        </w:rPr>
        <w:t>Report will include an expanded chapter on access and affordability. He concluded by stating that CHIA will continue to work with sister agencies to develop new affordability metrics and assist in other initiatives. Mr. Sager discussed the importance of creating a detailed inventory </w:t>
      </w:r>
      <w:r>
        <w:rPr>
          <w:rFonts w:ascii="Helvetica" w:hAnsi="Helvetica"/>
          <w:sz w:val="22"/>
        </w:rPr>
        <w:t>of </w:t>
      </w:r>
      <w:r>
        <w:rPr>
          <w:color w:val="1A181A"/>
        </w:rPr>
        <w:t>data availability</w:t>
      </w:r>
      <w:r>
        <w:rPr>
          <w:color w:val="1A181A"/>
          <w:spacing w:val="-3"/>
        </w:rPr>
        <w:t> </w:t>
      </w:r>
      <w:r>
        <w:rPr>
          <w:color w:val="1A181A"/>
        </w:rPr>
        <w:t>around</w:t>
      </w:r>
      <w:r>
        <w:rPr>
          <w:color w:val="1A181A"/>
          <w:spacing w:val="-3"/>
        </w:rPr>
        <w:t> </w:t>
      </w:r>
      <w:r>
        <w:rPr>
          <w:color w:val="1A181A"/>
        </w:rPr>
        <w:t>access</w:t>
      </w:r>
      <w:r>
        <w:rPr>
          <w:color w:val="1A181A"/>
          <w:spacing w:val="-3"/>
        </w:rPr>
        <w:t> </w:t>
      </w:r>
      <w:r>
        <w:rPr>
          <w:color w:val="1A181A"/>
        </w:rPr>
        <w:t>and</w:t>
      </w:r>
      <w:r>
        <w:rPr>
          <w:color w:val="1A181A"/>
          <w:spacing w:val="-4"/>
        </w:rPr>
        <w:t> </w:t>
      </w:r>
      <w:r>
        <w:rPr>
          <w:color w:val="1A181A"/>
        </w:rPr>
        <w:t>affordability</w:t>
      </w:r>
      <w:r>
        <w:rPr>
          <w:color w:val="1A181A"/>
          <w:spacing w:val="-1"/>
        </w:rPr>
        <w:t> </w:t>
      </w:r>
      <w:r>
        <w:rPr>
          <w:color w:val="1A181A"/>
        </w:rPr>
        <w:t>on</w:t>
      </w:r>
      <w:r>
        <w:rPr>
          <w:color w:val="1A181A"/>
          <w:spacing w:val="-5"/>
        </w:rPr>
        <w:t> </w:t>
      </w:r>
      <w:r>
        <w:rPr>
          <w:color w:val="1A181A"/>
        </w:rPr>
        <w:t>CHIA’s</w:t>
      </w:r>
      <w:r>
        <w:rPr>
          <w:color w:val="1A181A"/>
          <w:spacing w:val="-3"/>
        </w:rPr>
        <w:t> </w:t>
      </w:r>
      <w:r>
        <w:rPr>
          <w:color w:val="1A181A"/>
        </w:rPr>
        <w:t>website</w:t>
      </w:r>
      <w:r>
        <w:rPr>
          <w:color w:val="1A181A"/>
          <w:spacing w:val="-4"/>
        </w:rPr>
        <w:t> </w:t>
      </w:r>
      <w:r>
        <w:rPr>
          <w:color w:val="1A181A"/>
        </w:rPr>
        <w:t>with</w:t>
      </w:r>
      <w:r>
        <w:rPr>
          <w:color w:val="1A181A"/>
          <w:spacing w:val="-2"/>
        </w:rPr>
        <w:t> </w:t>
      </w:r>
      <w:r>
        <w:rPr>
          <w:color w:val="1A181A"/>
        </w:rPr>
        <w:t>internal</w:t>
      </w:r>
      <w:r>
        <w:rPr>
          <w:color w:val="1A181A"/>
          <w:spacing w:val="-3"/>
        </w:rPr>
        <w:t> </w:t>
      </w:r>
      <w:r>
        <w:rPr>
          <w:color w:val="1A181A"/>
        </w:rPr>
        <w:t>and</w:t>
      </w:r>
      <w:r>
        <w:rPr>
          <w:color w:val="1A181A"/>
          <w:spacing w:val="-4"/>
        </w:rPr>
        <w:t> </w:t>
      </w:r>
      <w:r>
        <w:rPr>
          <w:color w:val="1A181A"/>
        </w:rPr>
        <w:t>external</w:t>
      </w:r>
      <w:r>
        <w:rPr>
          <w:color w:val="1A181A"/>
          <w:spacing w:val="-3"/>
        </w:rPr>
        <w:t> </w:t>
      </w:r>
      <w:r>
        <w:rPr>
          <w:color w:val="1A181A"/>
        </w:rPr>
        <w:t>links.</w:t>
      </w:r>
      <w:r>
        <w:rPr>
          <w:color w:val="1A181A"/>
          <w:spacing w:val="-4"/>
        </w:rPr>
        <w:t> </w:t>
      </w:r>
      <w:r>
        <w:rPr>
          <w:color w:val="1A181A"/>
        </w:rPr>
        <w:t>Ms.</w:t>
      </w:r>
      <w:r>
        <w:rPr>
          <w:color w:val="1A181A"/>
          <w:spacing w:val="-4"/>
        </w:rPr>
        <w:t> </w:t>
      </w:r>
      <w:r>
        <w:rPr>
          <w:color w:val="1A181A"/>
        </w:rPr>
        <w:t>Peters agreed that an inventory would be helpful and said that it could be part of CHIA’s website redesign.</w:t>
      </w:r>
    </w:p>
    <w:p>
      <w:pPr>
        <w:pStyle w:val="BodyText"/>
        <w:spacing w:before="1"/>
        <w:ind w:left="0"/>
      </w:pPr>
    </w:p>
    <w:p>
      <w:pPr>
        <w:pStyle w:val="BodyText"/>
        <w:ind w:right="154"/>
      </w:pPr>
      <w:r>
        <w:rPr>
          <w:color w:val="1A181A"/>
        </w:rPr>
        <w:t>To conclude the strategic planning update, Mr. Jackmauh updated the Council on CHIA’s provider financial transparency efforts. He explained that CHIA has recently consolidated hospitals’ and health systems’</w:t>
      </w:r>
      <w:r>
        <w:rPr>
          <w:color w:val="1A181A"/>
          <w:spacing w:val="-4"/>
        </w:rPr>
        <w:t> </w:t>
      </w:r>
      <w:r>
        <w:rPr>
          <w:color w:val="1A181A"/>
        </w:rPr>
        <w:t>key</w:t>
      </w:r>
      <w:r>
        <w:rPr>
          <w:color w:val="1A181A"/>
          <w:spacing w:val="-3"/>
        </w:rPr>
        <w:t> </w:t>
      </w:r>
      <w:r>
        <w:rPr>
          <w:color w:val="1A181A"/>
        </w:rPr>
        <w:t>financial</w:t>
      </w:r>
      <w:r>
        <w:rPr>
          <w:color w:val="1A181A"/>
          <w:spacing w:val="-4"/>
        </w:rPr>
        <w:t> </w:t>
      </w:r>
      <w:r>
        <w:rPr>
          <w:color w:val="1A181A"/>
        </w:rPr>
        <w:t>and</w:t>
      </w:r>
      <w:r>
        <w:rPr>
          <w:color w:val="1A181A"/>
          <w:spacing w:val="-3"/>
        </w:rPr>
        <w:t> </w:t>
      </w:r>
      <w:r>
        <w:rPr>
          <w:color w:val="1A181A"/>
        </w:rPr>
        <w:t>utilization</w:t>
      </w:r>
      <w:r>
        <w:rPr>
          <w:color w:val="1A181A"/>
          <w:spacing w:val="-1"/>
        </w:rPr>
        <w:t> </w:t>
      </w:r>
      <w:r>
        <w:rPr>
          <w:color w:val="1A181A"/>
        </w:rPr>
        <w:t>metrics</w:t>
      </w:r>
      <w:r>
        <w:rPr>
          <w:color w:val="1A181A"/>
          <w:spacing w:val="-3"/>
        </w:rPr>
        <w:t> </w:t>
      </w:r>
      <w:r>
        <w:rPr>
          <w:color w:val="1A181A"/>
        </w:rPr>
        <w:t>into</w:t>
      </w:r>
      <w:r>
        <w:rPr>
          <w:color w:val="1A181A"/>
          <w:spacing w:val="-4"/>
        </w:rPr>
        <w:t> </w:t>
      </w:r>
      <w:r>
        <w:rPr>
          <w:color w:val="1A181A"/>
        </w:rPr>
        <w:t>a</w:t>
      </w:r>
      <w:r>
        <w:rPr>
          <w:color w:val="1A181A"/>
          <w:spacing w:val="-5"/>
        </w:rPr>
        <w:t> </w:t>
      </w:r>
      <w:r>
        <w:rPr>
          <w:color w:val="1A181A"/>
        </w:rPr>
        <w:t>single</w:t>
      </w:r>
      <w:r>
        <w:rPr>
          <w:color w:val="1A181A"/>
          <w:spacing w:val="-2"/>
        </w:rPr>
        <w:t> </w:t>
      </w:r>
      <w:r>
        <w:rPr>
          <w:color w:val="1A181A"/>
        </w:rPr>
        <w:t>interactive</w:t>
      </w:r>
      <w:r>
        <w:rPr>
          <w:color w:val="1A181A"/>
          <w:spacing w:val="-2"/>
        </w:rPr>
        <w:t> </w:t>
      </w:r>
      <w:r>
        <w:rPr>
          <w:color w:val="1A181A"/>
        </w:rPr>
        <w:t>dashboard.</w:t>
      </w:r>
      <w:r>
        <w:rPr>
          <w:color w:val="1A181A"/>
          <w:spacing w:val="-1"/>
        </w:rPr>
        <w:t> </w:t>
      </w:r>
      <w:r>
        <w:rPr>
          <w:color w:val="1A181A"/>
        </w:rPr>
        <w:t>CHIA</w:t>
      </w:r>
      <w:r>
        <w:rPr>
          <w:color w:val="1A181A"/>
          <w:spacing w:val="-2"/>
        </w:rPr>
        <w:t> </w:t>
      </w:r>
      <w:r>
        <w:rPr>
          <w:color w:val="1A181A"/>
        </w:rPr>
        <w:t>is</w:t>
      </w:r>
      <w:r>
        <w:rPr>
          <w:color w:val="1A181A"/>
          <w:spacing w:val="-3"/>
        </w:rPr>
        <w:t> </w:t>
      </w:r>
      <w:r>
        <w:rPr>
          <w:color w:val="1A181A"/>
        </w:rPr>
        <w:t>also</w:t>
      </w:r>
      <w:r>
        <w:rPr>
          <w:color w:val="1A181A"/>
          <w:spacing w:val="-1"/>
        </w:rPr>
        <w:t> </w:t>
      </w:r>
      <w:r>
        <w:rPr>
          <w:color w:val="1A181A"/>
        </w:rPr>
        <w:t>preparing</w:t>
      </w:r>
      <w:r>
        <w:rPr>
          <w:color w:val="1A181A"/>
          <w:spacing w:val="-4"/>
        </w:rPr>
        <w:t> </w:t>
      </w:r>
      <w:r>
        <w:rPr>
          <w:color w:val="1A181A"/>
        </w:rPr>
        <w:t>to launch its first nursing facility transparency dashboard. Mr. Jackmauh also stated that CHIA will support the Department of Public Health and other sister agencies in the implementation of a recently passed</w:t>
      </w:r>
      <w:r>
        <w:rPr>
          <w:color w:val="1A181A"/>
          <w:spacing w:val="40"/>
        </w:rPr>
        <w:t> </w:t>
      </w:r>
      <w:r>
        <w:rPr>
          <w:color w:val="1A181A"/>
        </w:rPr>
        <w:t>long term care bill. Ms. Lake explored the importance of linking nursing facility financial status with workforce data, which CHIA explained is already being done where possible</w:t>
      </w:r>
    </w:p>
    <w:p>
      <w:pPr>
        <w:pStyle w:val="BodyText"/>
        <w:spacing w:before="228"/>
      </w:pPr>
      <w:r>
        <w:rPr>
          <w:color w:val="1A181A"/>
        </w:rPr>
        <w:t>Ms.</w:t>
      </w:r>
      <w:r>
        <w:rPr>
          <w:color w:val="1A181A"/>
          <w:spacing w:val="-8"/>
        </w:rPr>
        <w:t> </w:t>
      </w:r>
      <w:r>
        <w:rPr>
          <w:color w:val="1A181A"/>
        </w:rPr>
        <w:t>Donohue</w:t>
      </w:r>
      <w:r>
        <w:rPr>
          <w:color w:val="1A181A"/>
          <w:spacing w:val="-7"/>
        </w:rPr>
        <w:t> </w:t>
      </w:r>
      <w:r>
        <w:rPr>
          <w:color w:val="1A181A"/>
        </w:rPr>
        <w:t>then</w:t>
      </w:r>
      <w:r>
        <w:rPr>
          <w:color w:val="1A181A"/>
          <w:spacing w:val="-6"/>
        </w:rPr>
        <w:t> </w:t>
      </w:r>
      <w:r>
        <w:rPr>
          <w:color w:val="1A181A"/>
        </w:rPr>
        <w:t>introduced</w:t>
      </w:r>
      <w:r>
        <w:rPr>
          <w:color w:val="1A181A"/>
          <w:spacing w:val="-9"/>
        </w:rPr>
        <w:t> </w:t>
      </w:r>
      <w:r>
        <w:rPr>
          <w:color w:val="1A181A"/>
        </w:rPr>
        <w:t>the</w:t>
      </w:r>
      <w:r>
        <w:rPr>
          <w:color w:val="1A181A"/>
          <w:spacing w:val="-7"/>
        </w:rPr>
        <w:t> </w:t>
      </w:r>
      <w:r>
        <w:rPr>
          <w:color w:val="1A181A"/>
        </w:rPr>
        <w:t>next</w:t>
      </w:r>
      <w:r>
        <w:rPr>
          <w:color w:val="1A181A"/>
          <w:spacing w:val="-7"/>
        </w:rPr>
        <w:t> </w:t>
      </w:r>
      <w:r>
        <w:rPr>
          <w:color w:val="1A181A"/>
        </w:rPr>
        <w:t>agenda</w:t>
      </w:r>
      <w:r>
        <w:rPr>
          <w:color w:val="1A181A"/>
          <w:spacing w:val="-7"/>
        </w:rPr>
        <w:t> </w:t>
      </w:r>
      <w:r>
        <w:rPr>
          <w:color w:val="1A181A"/>
          <w:spacing w:val="-2"/>
        </w:rPr>
        <w:t>topic.</w:t>
      </w:r>
    </w:p>
    <w:p>
      <w:pPr>
        <w:pStyle w:val="BodyText"/>
        <w:spacing w:before="2"/>
        <w:ind w:left="0"/>
      </w:pPr>
    </w:p>
    <w:p>
      <w:pPr>
        <w:pStyle w:val="Heading1"/>
        <w:numPr>
          <w:ilvl w:val="0"/>
          <w:numId w:val="1"/>
        </w:numPr>
        <w:tabs>
          <w:tab w:pos="820" w:val="left" w:leader="none"/>
        </w:tabs>
        <w:spacing w:line="240" w:lineRule="auto" w:before="0" w:after="0"/>
        <w:ind w:left="820" w:right="0" w:hanging="720"/>
        <w:jc w:val="left"/>
      </w:pPr>
      <w:r>
        <w:rPr>
          <w:smallCaps/>
        </w:rPr>
        <w:t>Nursing</w:t>
      </w:r>
      <w:r>
        <w:rPr>
          <w:smallCaps/>
          <w:spacing w:val="-10"/>
        </w:rPr>
        <w:t> </w:t>
      </w:r>
      <w:r>
        <w:rPr>
          <w:smallCaps/>
        </w:rPr>
        <w:t>Facility</w:t>
      </w:r>
      <w:r>
        <w:rPr>
          <w:smallCaps/>
          <w:spacing w:val="-7"/>
        </w:rPr>
        <w:t> </w:t>
      </w:r>
      <w:r>
        <w:rPr>
          <w:smallCaps/>
          <w:spacing w:val="-2"/>
        </w:rPr>
        <w:t>Transparency</w:t>
      </w:r>
    </w:p>
    <w:p>
      <w:pPr>
        <w:pStyle w:val="BodyText"/>
        <w:spacing w:before="57"/>
        <w:ind w:left="0"/>
        <w:rPr>
          <w:b/>
          <w:sz w:val="19"/>
        </w:rPr>
      </w:pPr>
    </w:p>
    <w:p>
      <w:pPr>
        <w:pStyle w:val="BodyText"/>
        <w:ind w:right="122"/>
      </w:pPr>
      <w:r>
        <w:rPr/>
        <w:t>Next on the agenda was an update on CHIA’s Nursing Facility Transparency initiative. Liz Almanzor, Director of Provider Finance, reminded the Council of the plan to publish in January 2025 an interactive dashboard intended to primarily assist policymakers accessing and understanding performance— including both financial and quality metrics—for individual nursing facilities and the broader industry. She noted that the dashboard leverages data from the skilled nursing facility cost reports filed with CHIA annually and other publicly available data. Ms. Almanzor then walked the Council through sample slides</w:t>
      </w:r>
      <w:r>
        <w:rPr>
          <w:spacing w:val="40"/>
        </w:rPr>
        <w:t> </w:t>
      </w:r>
      <w:r>
        <w:rPr/>
        <w:t>of</w:t>
      </w:r>
      <w:r>
        <w:rPr>
          <w:spacing w:val="-1"/>
        </w:rPr>
        <w:t> </w:t>
      </w:r>
      <w:r>
        <w:rPr/>
        <w:t>the</w:t>
      </w:r>
      <w:r>
        <w:rPr>
          <w:spacing w:val="-1"/>
        </w:rPr>
        <w:t> </w:t>
      </w:r>
      <w:r>
        <w:rPr/>
        <w:t>dashboard</w:t>
      </w:r>
      <w:r>
        <w:rPr>
          <w:spacing w:val="-1"/>
        </w:rPr>
        <w:t> </w:t>
      </w:r>
      <w:r>
        <w:rPr/>
        <w:t>to</w:t>
      </w:r>
      <w:r>
        <w:rPr>
          <w:spacing w:val="-1"/>
        </w:rPr>
        <w:t> </w:t>
      </w:r>
      <w:r>
        <w:rPr/>
        <w:t>show</w:t>
      </w:r>
      <w:r>
        <w:rPr>
          <w:spacing w:val="-1"/>
        </w:rPr>
        <w:t> </w:t>
      </w:r>
      <w:r>
        <w:rPr/>
        <w:t>the</w:t>
      </w:r>
      <w:r>
        <w:rPr>
          <w:spacing w:val="-1"/>
        </w:rPr>
        <w:t> </w:t>
      </w:r>
      <w:r>
        <w:rPr/>
        <w:t>types of</w:t>
      </w:r>
      <w:r>
        <w:rPr>
          <w:spacing w:val="-1"/>
        </w:rPr>
        <w:t> </w:t>
      </w:r>
      <w:r>
        <w:rPr/>
        <w:t>metrics being included</w:t>
      </w:r>
      <w:r>
        <w:rPr>
          <w:color w:val="1A181A"/>
        </w:rPr>
        <w:t>.</w:t>
      </w:r>
      <w:r>
        <w:rPr>
          <w:color w:val="1A181A"/>
          <w:spacing w:val="-1"/>
        </w:rPr>
        <w:t> </w:t>
      </w:r>
      <w:r>
        <w:rPr>
          <w:color w:val="1A181A"/>
        </w:rPr>
        <w:t>Mr. Sager asked that</w:t>
      </w:r>
      <w:r>
        <w:rPr>
          <w:color w:val="1A181A"/>
          <w:spacing w:val="-1"/>
        </w:rPr>
        <w:t> </w:t>
      </w:r>
      <w:r>
        <w:rPr>
          <w:color w:val="1A181A"/>
        </w:rPr>
        <w:t>CHIA</w:t>
      </w:r>
      <w:r>
        <w:rPr>
          <w:color w:val="1A181A"/>
          <w:spacing w:val="-1"/>
        </w:rPr>
        <w:t> </w:t>
      </w:r>
      <w:r>
        <w:rPr>
          <w:color w:val="1A181A"/>
        </w:rPr>
        <w:t>compile a</w:t>
      </w:r>
      <w:r>
        <w:rPr>
          <w:color w:val="1A181A"/>
          <w:spacing w:val="-1"/>
        </w:rPr>
        <w:t> </w:t>
      </w:r>
      <w:r>
        <w:rPr>
          <w:color w:val="1A181A"/>
        </w:rPr>
        <w:t>list</w:t>
      </w:r>
      <w:r>
        <w:rPr>
          <w:color w:val="1A181A"/>
          <w:spacing w:val="-1"/>
        </w:rPr>
        <w:t> </w:t>
      </w:r>
      <w:r>
        <w:rPr>
          <w:color w:val="1A181A"/>
        </w:rPr>
        <w:t>of the number of nursing homes, licensed beds, occupancy rate, and average daily census for the last 10 years</w:t>
      </w:r>
      <w:r>
        <w:rPr>
          <w:color w:val="1A181A"/>
          <w:spacing w:val="-2"/>
        </w:rPr>
        <w:t> </w:t>
      </w:r>
      <w:r>
        <w:rPr>
          <w:color w:val="1A181A"/>
        </w:rPr>
        <w:t>statewide.</w:t>
      </w:r>
      <w:r>
        <w:rPr>
          <w:color w:val="1A181A"/>
          <w:spacing w:val="-4"/>
        </w:rPr>
        <w:t> </w:t>
      </w:r>
      <w:r>
        <w:rPr>
          <w:color w:val="1A181A"/>
        </w:rPr>
        <w:t>In</w:t>
      </w:r>
      <w:r>
        <w:rPr>
          <w:color w:val="1A181A"/>
          <w:spacing w:val="-4"/>
        </w:rPr>
        <w:t> </w:t>
      </w:r>
      <w:r>
        <w:rPr>
          <w:color w:val="1A181A"/>
        </w:rPr>
        <w:t>the</w:t>
      </w:r>
      <w:r>
        <w:rPr>
          <w:color w:val="1A181A"/>
          <w:spacing w:val="-4"/>
        </w:rPr>
        <w:t> </w:t>
      </w:r>
      <w:r>
        <w:rPr>
          <w:color w:val="1A181A"/>
        </w:rPr>
        <w:t>brief</w:t>
      </w:r>
      <w:r>
        <w:rPr>
          <w:color w:val="1A181A"/>
          <w:spacing w:val="-1"/>
        </w:rPr>
        <w:t> </w:t>
      </w:r>
      <w:r>
        <w:rPr>
          <w:color w:val="1A181A"/>
        </w:rPr>
        <w:t>discussion</w:t>
      </w:r>
      <w:r>
        <w:rPr>
          <w:color w:val="1A181A"/>
          <w:spacing w:val="-1"/>
        </w:rPr>
        <w:t> </w:t>
      </w:r>
      <w:r>
        <w:rPr>
          <w:color w:val="1A181A"/>
        </w:rPr>
        <w:t>that</w:t>
      </w:r>
      <w:r>
        <w:rPr>
          <w:color w:val="1A181A"/>
          <w:spacing w:val="-2"/>
        </w:rPr>
        <w:t> </w:t>
      </w:r>
      <w:r>
        <w:rPr>
          <w:color w:val="1A181A"/>
        </w:rPr>
        <w:t>followed,</w:t>
      </w:r>
      <w:r>
        <w:rPr>
          <w:color w:val="1A181A"/>
          <w:spacing w:val="-3"/>
        </w:rPr>
        <w:t> </w:t>
      </w:r>
      <w:r>
        <w:rPr>
          <w:color w:val="1A181A"/>
        </w:rPr>
        <w:t>Ms.</w:t>
      </w:r>
      <w:r>
        <w:rPr>
          <w:color w:val="1A181A"/>
          <w:spacing w:val="-4"/>
        </w:rPr>
        <w:t> </w:t>
      </w:r>
      <w:r>
        <w:rPr>
          <w:color w:val="1A181A"/>
        </w:rPr>
        <w:t>Peters</w:t>
      </w:r>
      <w:r>
        <w:rPr>
          <w:color w:val="1A181A"/>
          <w:spacing w:val="-2"/>
        </w:rPr>
        <w:t> </w:t>
      </w:r>
      <w:r>
        <w:rPr>
          <w:color w:val="1A181A"/>
        </w:rPr>
        <w:t>stated</w:t>
      </w:r>
      <w:r>
        <w:rPr>
          <w:color w:val="1A181A"/>
          <w:spacing w:val="-4"/>
        </w:rPr>
        <w:t> </w:t>
      </w:r>
      <w:r>
        <w:rPr>
          <w:color w:val="1A181A"/>
        </w:rPr>
        <w:t>that</w:t>
      </w:r>
      <w:r>
        <w:rPr>
          <w:color w:val="1A181A"/>
          <w:spacing w:val="-4"/>
        </w:rPr>
        <w:t> </w:t>
      </w:r>
      <w:r>
        <w:rPr>
          <w:color w:val="1A181A"/>
        </w:rPr>
        <w:t>the</w:t>
      </w:r>
      <w:r>
        <w:rPr>
          <w:color w:val="1A181A"/>
          <w:spacing w:val="-2"/>
        </w:rPr>
        <w:t> </w:t>
      </w:r>
      <w:r>
        <w:rPr>
          <w:color w:val="1A181A"/>
        </w:rPr>
        <w:t>Nursing</w:t>
      </w:r>
      <w:r>
        <w:rPr>
          <w:color w:val="1A181A"/>
          <w:spacing w:val="-3"/>
        </w:rPr>
        <w:t> </w:t>
      </w:r>
      <w:r>
        <w:rPr>
          <w:color w:val="1A181A"/>
        </w:rPr>
        <w:t>Facility</w:t>
      </w:r>
      <w:r>
        <w:rPr>
          <w:color w:val="1A181A"/>
          <w:spacing w:val="-2"/>
        </w:rPr>
        <w:t> </w:t>
      </w:r>
      <w:r>
        <w:rPr>
          <w:color w:val="1A181A"/>
        </w:rPr>
        <w:t>Taskforce completed the proposed inventory already, and that the report can be shared. She also noted that the Department of Public Health and MassHealth collects this data, rather than CHIA.</w:t>
      </w:r>
    </w:p>
    <w:p>
      <w:pPr>
        <w:pStyle w:val="BodyText"/>
        <w:spacing w:before="1"/>
        <w:ind w:left="0"/>
      </w:pPr>
    </w:p>
    <w:p>
      <w:pPr>
        <w:pStyle w:val="ListParagraph"/>
        <w:numPr>
          <w:ilvl w:val="0"/>
          <w:numId w:val="1"/>
        </w:numPr>
        <w:tabs>
          <w:tab w:pos="820" w:val="left" w:leader="none"/>
        </w:tabs>
        <w:spacing w:line="240" w:lineRule="auto" w:before="0" w:after="0"/>
        <w:ind w:left="820" w:right="0" w:hanging="720"/>
        <w:jc w:val="left"/>
        <w:rPr>
          <w:b/>
          <w:sz w:val="19"/>
        </w:rPr>
      </w:pPr>
      <w:r>
        <w:rPr>
          <w:b/>
          <w:spacing w:val="-2"/>
          <w:sz w:val="24"/>
        </w:rPr>
        <w:t>THCE</w:t>
      </w:r>
      <w:r>
        <w:rPr>
          <w:b/>
          <w:spacing w:val="-10"/>
          <w:sz w:val="24"/>
        </w:rPr>
        <w:t> </w:t>
      </w:r>
      <w:r>
        <w:rPr>
          <w:b/>
          <w:spacing w:val="-2"/>
          <w:sz w:val="19"/>
        </w:rPr>
        <w:t>VS</w:t>
      </w:r>
      <w:r>
        <w:rPr>
          <w:b/>
          <w:spacing w:val="-2"/>
          <w:sz w:val="24"/>
        </w:rPr>
        <w:t>.</w:t>
      </w:r>
      <w:r>
        <w:rPr>
          <w:b/>
          <w:spacing w:val="-12"/>
          <w:sz w:val="24"/>
        </w:rPr>
        <w:t> </w:t>
      </w:r>
      <w:r>
        <w:rPr>
          <w:b/>
          <w:spacing w:val="-2"/>
          <w:sz w:val="24"/>
        </w:rPr>
        <w:t>SHEA</w:t>
      </w:r>
      <w:r>
        <w:rPr>
          <w:b/>
          <w:spacing w:val="-11"/>
          <w:sz w:val="24"/>
        </w:rPr>
        <w:t> </w:t>
      </w:r>
      <w:r>
        <w:rPr>
          <w:b/>
          <w:spacing w:val="-2"/>
          <w:sz w:val="24"/>
        </w:rPr>
        <w:t>C</w:t>
      </w:r>
      <w:r>
        <w:rPr>
          <w:b/>
          <w:spacing w:val="-2"/>
          <w:sz w:val="19"/>
        </w:rPr>
        <w:t>ALCULATIONS</w:t>
      </w:r>
    </w:p>
    <w:p>
      <w:pPr>
        <w:pStyle w:val="BodyText"/>
        <w:spacing w:before="11"/>
        <w:ind w:left="0"/>
        <w:rPr>
          <w:b/>
          <w:sz w:val="19"/>
        </w:rPr>
      </w:pPr>
    </w:p>
    <w:p>
      <w:pPr>
        <w:pStyle w:val="BodyText"/>
        <w:ind w:right="183"/>
      </w:pPr>
      <w:r>
        <w:rPr>
          <w:color w:val="1A181A"/>
        </w:rPr>
        <w:t>Molly Bailey, Manager of Health Informatics and Reporting, was then introduced to present on the Total Health</w:t>
      </w:r>
      <w:r>
        <w:rPr>
          <w:color w:val="1A181A"/>
          <w:spacing w:val="-6"/>
        </w:rPr>
        <w:t> </w:t>
      </w:r>
      <w:r>
        <w:rPr>
          <w:color w:val="1A181A"/>
        </w:rPr>
        <w:t>Care</w:t>
      </w:r>
      <w:r>
        <w:rPr>
          <w:color w:val="1A181A"/>
          <w:spacing w:val="-5"/>
        </w:rPr>
        <w:t> </w:t>
      </w:r>
      <w:r>
        <w:rPr>
          <w:color w:val="1A181A"/>
        </w:rPr>
        <w:t>Expenditures</w:t>
      </w:r>
      <w:r>
        <w:rPr>
          <w:color w:val="1A181A"/>
          <w:spacing w:val="-3"/>
        </w:rPr>
        <w:t> </w:t>
      </w:r>
      <w:r>
        <w:rPr>
          <w:color w:val="1A181A"/>
        </w:rPr>
        <w:t>(THCE)</w:t>
      </w:r>
      <w:r>
        <w:rPr>
          <w:color w:val="1A181A"/>
          <w:spacing w:val="-5"/>
        </w:rPr>
        <w:t> </w:t>
      </w:r>
      <w:r>
        <w:rPr>
          <w:color w:val="1A181A"/>
        </w:rPr>
        <w:t>metric</w:t>
      </w:r>
      <w:r>
        <w:rPr>
          <w:color w:val="1A181A"/>
          <w:spacing w:val="-4"/>
        </w:rPr>
        <w:t> </w:t>
      </w:r>
      <w:r>
        <w:rPr>
          <w:color w:val="1A181A"/>
        </w:rPr>
        <w:t>and</w:t>
      </w:r>
      <w:r>
        <w:rPr>
          <w:color w:val="1A181A"/>
          <w:spacing w:val="-5"/>
        </w:rPr>
        <w:t> </w:t>
      </w:r>
      <w:r>
        <w:rPr>
          <w:color w:val="1A181A"/>
        </w:rPr>
        <w:t>the</w:t>
      </w:r>
      <w:r>
        <w:rPr>
          <w:color w:val="1A181A"/>
          <w:spacing w:val="-3"/>
        </w:rPr>
        <w:t> </w:t>
      </w:r>
      <w:r>
        <w:rPr>
          <w:color w:val="1A181A"/>
        </w:rPr>
        <w:t>State</w:t>
      </w:r>
      <w:r>
        <w:rPr>
          <w:color w:val="1A181A"/>
          <w:spacing w:val="-5"/>
        </w:rPr>
        <w:t> </w:t>
      </w:r>
      <w:r>
        <w:rPr>
          <w:color w:val="1A181A"/>
        </w:rPr>
        <w:t>Health</w:t>
      </w:r>
      <w:r>
        <w:rPr>
          <w:color w:val="1A181A"/>
          <w:spacing w:val="-3"/>
        </w:rPr>
        <w:t> </w:t>
      </w:r>
      <w:r>
        <w:rPr>
          <w:color w:val="1A181A"/>
        </w:rPr>
        <w:t>Expenditures</w:t>
      </w:r>
      <w:r>
        <w:rPr>
          <w:color w:val="1A181A"/>
          <w:spacing w:val="-2"/>
        </w:rPr>
        <w:t> </w:t>
      </w:r>
      <w:r>
        <w:rPr>
          <w:color w:val="1A181A"/>
        </w:rPr>
        <w:t>Account</w:t>
      </w:r>
      <w:r>
        <w:rPr>
          <w:color w:val="1A181A"/>
          <w:spacing w:val="-5"/>
        </w:rPr>
        <w:t> </w:t>
      </w:r>
      <w:r>
        <w:rPr>
          <w:color w:val="1A181A"/>
        </w:rPr>
        <w:t>(SHEA)</w:t>
      </w:r>
      <w:r>
        <w:rPr>
          <w:color w:val="1A181A"/>
          <w:spacing w:val="-4"/>
        </w:rPr>
        <w:t> </w:t>
      </w:r>
      <w:r>
        <w:rPr>
          <w:color w:val="1A181A"/>
        </w:rPr>
        <w:t>metric.</w:t>
      </w:r>
      <w:r>
        <w:rPr>
          <w:color w:val="1A181A"/>
          <w:spacing w:val="-3"/>
        </w:rPr>
        <w:t> </w:t>
      </w:r>
      <w:r>
        <w:rPr>
          <w:color w:val="1A181A"/>
        </w:rPr>
        <w:t>She defined the THCE measure and noted CHIA’s annual calculation of total health care spending by Massachusetts residents. The data is sourced from the direct annual submission of spending data from private and public payers. Conversely,</w:t>
      </w:r>
      <w:r>
        <w:rPr>
          <w:color w:val="1A181A"/>
          <w:spacing w:val="-1"/>
        </w:rPr>
        <w:t> </w:t>
      </w:r>
      <w:r>
        <w:rPr>
          <w:color w:val="1A181A"/>
        </w:rPr>
        <w:t>the SHEA is calculated</w:t>
      </w:r>
      <w:r>
        <w:rPr>
          <w:color w:val="1A181A"/>
          <w:spacing w:val="-1"/>
        </w:rPr>
        <w:t> </w:t>
      </w:r>
      <w:r>
        <w:rPr>
          <w:color w:val="1A181A"/>
        </w:rPr>
        <w:t>by the</w:t>
      </w:r>
      <w:r>
        <w:rPr>
          <w:color w:val="1A181A"/>
          <w:spacing w:val="-1"/>
        </w:rPr>
        <w:t> </w:t>
      </w:r>
      <w:r>
        <w:rPr>
          <w:color w:val="1A181A"/>
        </w:rPr>
        <w:t>Centers for Medicare</w:t>
      </w:r>
      <w:r>
        <w:rPr>
          <w:color w:val="1A181A"/>
          <w:spacing w:val="-1"/>
        </w:rPr>
        <w:t> </w:t>
      </w:r>
      <w:r>
        <w:rPr>
          <w:color w:val="1A181A"/>
        </w:rPr>
        <w:t>and Medicaid Services (CMS) every five years for the purpose of cross-state comparisons. The SHEA is calculated using estimates from the U.S. Census Bureau’s Economic Census and industry surveys, with supplemental claims and budget data from public programs.</w:t>
      </w:r>
    </w:p>
    <w:p>
      <w:pPr>
        <w:pStyle w:val="BodyText"/>
        <w:ind w:left="0"/>
      </w:pPr>
    </w:p>
    <w:p>
      <w:pPr>
        <w:pStyle w:val="BodyText"/>
        <w:ind w:right="183"/>
      </w:pPr>
      <w:r>
        <w:rPr>
          <w:color w:val="1A181A"/>
        </w:rPr>
        <w:t>Ms.</w:t>
      </w:r>
      <w:r>
        <w:rPr>
          <w:color w:val="1A181A"/>
          <w:spacing w:val="-4"/>
        </w:rPr>
        <w:t> </w:t>
      </w:r>
      <w:r>
        <w:rPr>
          <w:color w:val="1A181A"/>
        </w:rPr>
        <w:t>Bailey</w:t>
      </w:r>
      <w:r>
        <w:rPr>
          <w:color w:val="1A181A"/>
          <w:spacing w:val="-3"/>
        </w:rPr>
        <w:t> </w:t>
      </w:r>
      <w:r>
        <w:rPr>
          <w:color w:val="1A181A"/>
        </w:rPr>
        <w:t>noted</w:t>
      </w:r>
      <w:r>
        <w:rPr>
          <w:color w:val="1A181A"/>
          <w:spacing w:val="-5"/>
        </w:rPr>
        <w:t> </w:t>
      </w:r>
      <w:r>
        <w:rPr>
          <w:color w:val="1A181A"/>
        </w:rPr>
        <w:t>that</w:t>
      </w:r>
      <w:r>
        <w:rPr>
          <w:color w:val="1A181A"/>
          <w:spacing w:val="-2"/>
        </w:rPr>
        <w:t> </w:t>
      </w:r>
      <w:r>
        <w:rPr>
          <w:color w:val="1A181A"/>
        </w:rPr>
        <w:t>in</w:t>
      </w:r>
      <w:r>
        <w:rPr>
          <w:color w:val="1A181A"/>
          <w:spacing w:val="-2"/>
        </w:rPr>
        <w:t> </w:t>
      </w:r>
      <w:r>
        <w:rPr>
          <w:color w:val="1A181A"/>
        </w:rPr>
        <w:t>2014</w:t>
      </w:r>
      <w:r>
        <w:rPr>
          <w:color w:val="1A181A"/>
          <w:spacing w:val="-4"/>
        </w:rPr>
        <w:t> </w:t>
      </w:r>
      <w:r>
        <w:rPr>
          <w:color w:val="1A181A"/>
        </w:rPr>
        <w:t>CHIA</w:t>
      </w:r>
      <w:r>
        <w:rPr>
          <w:color w:val="1A181A"/>
          <w:spacing w:val="-4"/>
        </w:rPr>
        <w:t> </w:t>
      </w:r>
      <w:r>
        <w:rPr>
          <w:color w:val="1A181A"/>
        </w:rPr>
        <w:t>published</w:t>
      </w:r>
      <w:r>
        <w:rPr>
          <w:color w:val="1A181A"/>
          <w:spacing w:val="-5"/>
        </w:rPr>
        <w:t> </w:t>
      </w:r>
      <w:r>
        <w:rPr>
          <w:color w:val="1A181A"/>
        </w:rPr>
        <w:t>a</w:t>
      </w:r>
      <w:r>
        <w:rPr>
          <w:color w:val="1A181A"/>
          <w:spacing w:val="-1"/>
        </w:rPr>
        <w:t> </w:t>
      </w:r>
      <w:r>
        <w:rPr>
          <w:color w:val="1A181A"/>
        </w:rPr>
        <w:t>technical</w:t>
      </w:r>
      <w:r>
        <w:rPr>
          <w:color w:val="1A181A"/>
          <w:spacing w:val="-5"/>
        </w:rPr>
        <w:t> </w:t>
      </w:r>
      <w:r>
        <w:rPr>
          <w:color w:val="1A181A"/>
        </w:rPr>
        <w:t>note</w:t>
      </w:r>
      <w:r>
        <w:rPr>
          <w:color w:val="1A181A"/>
          <w:spacing w:val="-3"/>
        </w:rPr>
        <w:t> </w:t>
      </w:r>
      <w:r>
        <w:rPr>
          <w:color w:val="1A181A"/>
        </w:rPr>
        <w:t>outlining</w:t>
      </w:r>
      <w:r>
        <w:rPr>
          <w:color w:val="1A181A"/>
          <w:spacing w:val="-2"/>
        </w:rPr>
        <w:t> </w:t>
      </w:r>
      <w:r>
        <w:rPr>
          <w:color w:val="1A181A"/>
        </w:rPr>
        <w:t>the</w:t>
      </w:r>
      <w:r>
        <w:rPr>
          <w:color w:val="1A181A"/>
          <w:spacing w:val="-4"/>
        </w:rPr>
        <w:t> </w:t>
      </w:r>
      <w:r>
        <w:rPr>
          <w:color w:val="1A181A"/>
        </w:rPr>
        <w:t>differences</w:t>
      </w:r>
      <w:r>
        <w:rPr>
          <w:color w:val="1A181A"/>
          <w:spacing w:val="-3"/>
        </w:rPr>
        <w:t> </w:t>
      </w:r>
      <w:r>
        <w:rPr>
          <w:color w:val="1A181A"/>
        </w:rPr>
        <w:t>between</w:t>
      </w:r>
      <w:r>
        <w:rPr>
          <w:color w:val="1A181A"/>
          <w:spacing w:val="-4"/>
        </w:rPr>
        <w:t> </w:t>
      </w:r>
      <w:r>
        <w:rPr>
          <w:color w:val="1A181A"/>
        </w:rPr>
        <w:t>THCE and SHEA for calendar year 2012 expenditures and found that the SHEA amount was higher than the THCE amount after excluding the net cost of private health insurance for comparison purposes. Mr.</w:t>
      </w:r>
    </w:p>
    <w:p>
      <w:pPr>
        <w:pStyle w:val="BodyText"/>
        <w:ind w:right="183"/>
      </w:pPr>
      <w:r>
        <w:rPr>
          <w:color w:val="1A181A"/>
        </w:rPr>
        <w:t>Sager noted that the quick reference calculations of THCE versus SHEA are greater now than in 2012. Mr.</w:t>
      </w:r>
      <w:r>
        <w:rPr>
          <w:color w:val="1A181A"/>
          <w:spacing w:val="-4"/>
        </w:rPr>
        <w:t> </w:t>
      </w:r>
      <w:r>
        <w:rPr>
          <w:color w:val="1A181A"/>
        </w:rPr>
        <w:t>Sager</w:t>
      </w:r>
      <w:r>
        <w:rPr>
          <w:color w:val="1A181A"/>
          <w:spacing w:val="-3"/>
        </w:rPr>
        <w:t> </w:t>
      </w:r>
      <w:r>
        <w:rPr>
          <w:color w:val="1A181A"/>
        </w:rPr>
        <w:t>also</w:t>
      </w:r>
      <w:r>
        <w:rPr>
          <w:color w:val="1A181A"/>
          <w:spacing w:val="-3"/>
        </w:rPr>
        <w:t> </w:t>
      </w:r>
      <w:r>
        <w:rPr>
          <w:color w:val="1A181A"/>
        </w:rPr>
        <w:t>raised</w:t>
      </w:r>
      <w:r>
        <w:rPr>
          <w:color w:val="1A181A"/>
          <w:spacing w:val="-4"/>
        </w:rPr>
        <w:t> </w:t>
      </w:r>
      <w:r>
        <w:rPr>
          <w:color w:val="1A181A"/>
        </w:rPr>
        <w:t>that</w:t>
      </w:r>
      <w:r>
        <w:rPr>
          <w:color w:val="1A181A"/>
          <w:spacing w:val="-2"/>
        </w:rPr>
        <w:t> </w:t>
      </w:r>
      <w:r>
        <w:rPr>
          <w:color w:val="1A181A"/>
        </w:rPr>
        <w:t>the</w:t>
      </w:r>
      <w:r>
        <w:rPr>
          <w:color w:val="1A181A"/>
          <w:spacing w:val="-5"/>
        </w:rPr>
        <w:t> </w:t>
      </w:r>
      <w:r>
        <w:rPr>
          <w:color w:val="1A181A"/>
        </w:rPr>
        <w:t>statutory</w:t>
      </w:r>
      <w:r>
        <w:rPr>
          <w:color w:val="1A181A"/>
          <w:spacing w:val="-3"/>
        </w:rPr>
        <w:t> </w:t>
      </w:r>
      <w:r>
        <w:rPr>
          <w:color w:val="1A181A"/>
        </w:rPr>
        <w:t>definition</w:t>
      </w:r>
      <w:r>
        <w:rPr>
          <w:color w:val="1A181A"/>
          <w:spacing w:val="-3"/>
        </w:rPr>
        <w:t> </w:t>
      </w:r>
      <w:r>
        <w:rPr>
          <w:color w:val="1A181A"/>
        </w:rPr>
        <w:t>of</w:t>
      </w:r>
      <w:r>
        <w:rPr>
          <w:color w:val="1A181A"/>
          <w:spacing w:val="-4"/>
        </w:rPr>
        <w:t> </w:t>
      </w:r>
      <w:r>
        <w:rPr>
          <w:color w:val="1A181A"/>
        </w:rPr>
        <w:t>THCE does</w:t>
      </w:r>
      <w:r>
        <w:rPr>
          <w:color w:val="1A181A"/>
          <w:spacing w:val="-2"/>
        </w:rPr>
        <w:t> </w:t>
      </w:r>
      <w:r>
        <w:rPr>
          <w:color w:val="1A181A"/>
        </w:rPr>
        <w:t>not</w:t>
      </w:r>
      <w:r>
        <w:rPr>
          <w:color w:val="1A181A"/>
          <w:spacing w:val="-4"/>
        </w:rPr>
        <w:t> </w:t>
      </w:r>
      <w:r>
        <w:rPr>
          <w:color w:val="1A181A"/>
        </w:rPr>
        <w:t>fully</w:t>
      </w:r>
      <w:r>
        <w:rPr>
          <w:color w:val="1A181A"/>
          <w:spacing w:val="-3"/>
        </w:rPr>
        <w:t> </w:t>
      </w:r>
      <w:r>
        <w:rPr>
          <w:color w:val="1A181A"/>
        </w:rPr>
        <w:t>capture actual</w:t>
      </w:r>
      <w:r>
        <w:rPr>
          <w:color w:val="1A181A"/>
          <w:spacing w:val="-4"/>
        </w:rPr>
        <w:t> </w:t>
      </w:r>
      <w:r>
        <w:rPr>
          <w:color w:val="1A181A"/>
        </w:rPr>
        <w:t>total</w:t>
      </w:r>
      <w:r>
        <w:rPr>
          <w:color w:val="1A181A"/>
          <w:spacing w:val="-4"/>
        </w:rPr>
        <w:t> </w:t>
      </w:r>
      <w:r>
        <w:rPr>
          <w:color w:val="1A181A"/>
        </w:rPr>
        <w:t>health</w:t>
      </w:r>
      <w:r>
        <w:rPr>
          <w:color w:val="1A181A"/>
          <w:spacing w:val="-4"/>
        </w:rPr>
        <w:t> </w:t>
      </w:r>
      <w:r>
        <w:rPr>
          <w:color w:val="1A181A"/>
        </w:rPr>
        <w:t>care</w:t>
      </w:r>
    </w:p>
    <w:p>
      <w:pPr>
        <w:spacing w:after="0"/>
        <w:sectPr>
          <w:pgSz w:w="12240" w:h="15840"/>
          <w:pgMar w:header="727" w:footer="540" w:top="1640" w:bottom="740" w:left="1340" w:right="1320"/>
        </w:sectPr>
      </w:pPr>
    </w:p>
    <w:p>
      <w:pPr>
        <w:pStyle w:val="BodyText"/>
        <w:spacing w:before="82"/>
      </w:pPr>
      <w:r>
        <w:rPr>
          <w:color w:val="1A181A"/>
        </w:rPr>
        <w:t>spending in the Commonwealth and suggested that CHIA make this clearer in its reporting. The Council agreed that CHIA should explore whether the gap has widened between THCE and SHEA calculations since</w:t>
      </w:r>
      <w:r>
        <w:rPr>
          <w:color w:val="1A181A"/>
          <w:spacing w:val="-4"/>
        </w:rPr>
        <w:t> </w:t>
      </w:r>
      <w:r>
        <w:rPr>
          <w:color w:val="1A181A"/>
        </w:rPr>
        <w:t>the</w:t>
      </w:r>
      <w:r>
        <w:rPr>
          <w:color w:val="1A181A"/>
          <w:spacing w:val="-4"/>
        </w:rPr>
        <w:t> </w:t>
      </w:r>
      <w:r>
        <w:rPr>
          <w:color w:val="1A181A"/>
        </w:rPr>
        <w:t>2014</w:t>
      </w:r>
      <w:r>
        <w:rPr>
          <w:color w:val="1A181A"/>
          <w:spacing w:val="-3"/>
        </w:rPr>
        <w:t> </w:t>
      </w:r>
      <w:r>
        <w:rPr>
          <w:color w:val="1A181A"/>
        </w:rPr>
        <w:t>analysis.</w:t>
      </w:r>
      <w:r>
        <w:rPr>
          <w:color w:val="1A181A"/>
          <w:spacing w:val="-4"/>
        </w:rPr>
        <w:t> </w:t>
      </w:r>
      <w:r>
        <w:rPr>
          <w:color w:val="1A181A"/>
        </w:rPr>
        <w:t>Ms.</w:t>
      </w:r>
      <w:r>
        <w:rPr>
          <w:color w:val="1A181A"/>
          <w:spacing w:val="-4"/>
        </w:rPr>
        <w:t> </w:t>
      </w:r>
      <w:r>
        <w:rPr>
          <w:color w:val="1A181A"/>
        </w:rPr>
        <w:t>Peters</w:t>
      </w:r>
      <w:r>
        <w:rPr>
          <w:color w:val="1A181A"/>
          <w:spacing w:val="-2"/>
        </w:rPr>
        <w:t> </w:t>
      </w:r>
      <w:r>
        <w:rPr>
          <w:color w:val="1A181A"/>
        </w:rPr>
        <w:t>committed</w:t>
      </w:r>
      <w:r>
        <w:rPr>
          <w:color w:val="1A181A"/>
          <w:spacing w:val="-2"/>
        </w:rPr>
        <w:t> </w:t>
      </w:r>
      <w:r>
        <w:rPr>
          <w:color w:val="1A181A"/>
        </w:rPr>
        <w:t>to</w:t>
      </w:r>
      <w:r>
        <w:rPr>
          <w:color w:val="1A181A"/>
          <w:spacing w:val="-3"/>
        </w:rPr>
        <w:t> </w:t>
      </w:r>
      <w:r>
        <w:rPr>
          <w:color w:val="1A181A"/>
        </w:rPr>
        <w:t>updating</w:t>
      </w:r>
      <w:r>
        <w:rPr>
          <w:color w:val="1A181A"/>
          <w:spacing w:val="-4"/>
        </w:rPr>
        <w:t> </w:t>
      </w:r>
      <w:r>
        <w:rPr>
          <w:color w:val="1A181A"/>
        </w:rPr>
        <w:t>CHIA’s</w:t>
      </w:r>
      <w:r>
        <w:rPr>
          <w:color w:val="1A181A"/>
          <w:spacing w:val="-3"/>
        </w:rPr>
        <w:t> </w:t>
      </w:r>
      <w:r>
        <w:rPr>
          <w:color w:val="1A181A"/>
        </w:rPr>
        <w:t>analysis</w:t>
      </w:r>
      <w:r>
        <w:rPr>
          <w:color w:val="1A181A"/>
          <w:spacing w:val="-3"/>
        </w:rPr>
        <w:t> </w:t>
      </w:r>
      <w:r>
        <w:rPr>
          <w:color w:val="1A181A"/>
        </w:rPr>
        <w:t>comparing</w:t>
      </w:r>
      <w:r>
        <w:rPr>
          <w:color w:val="1A181A"/>
          <w:spacing w:val="-4"/>
        </w:rPr>
        <w:t> </w:t>
      </w:r>
      <w:r>
        <w:rPr>
          <w:color w:val="1A181A"/>
        </w:rPr>
        <w:t>THCE</w:t>
      </w:r>
      <w:r>
        <w:rPr>
          <w:color w:val="1A181A"/>
          <w:spacing w:val="-3"/>
        </w:rPr>
        <w:t> </w:t>
      </w:r>
      <w:r>
        <w:rPr>
          <w:color w:val="1A181A"/>
        </w:rPr>
        <w:t>and</w:t>
      </w:r>
      <w:r>
        <w:rPr>
          <w:color w:val="1A181A"/>
          <w:spacing w:val="-4"/>
        </w:rPr>
        <w:t> </w:t>
      </w:r>
      <w:r>
        <w:rPr>
          <w:color w:val="1A181A"/>
        </w:rPr>
        <w:t>SHEA, once the federal government releases updated data in 2025.</w:t>
      </w:r>
    </w:p>
    <w:p>
      <w:pPr>
        <w:pStyle w:val="BodyText"/>
        <w:ind w:left="0"/>
      </w:pPr>
    </w:p>
    <w:p>
      <w:pPr>
        <w:pStyle w:val="BodyText"/>
        <w:spacing w:before="4"/>
        <w:ind w:left="0"/>
      </w:pPr>
    </w:p>
    <w:p>
      <w:pPr>
        <w:pStyle w:val="Heading1"/>
        <w:numPr>
          <w:ilvl w:val="0"/>
          <w:numId w:val="1"/>
        </w:numPr>
        <w:tabs>
          <w:tab w:pos="820" w:val="left" w:leader="none"/>
        </w:tabs>
        <w:spacing w:line="240" w:lineRule="auto" w:before="0" w:after="0"/>
        <w:ind w:left="820" w:right="0" w:hanging="720"/>
        <w:jc w:val="left"/>
      </w:pPr>
      <w:r>
        <w:rPr>
          <w:smallCaps/>
        </w:rPr>
        <w:t>Executive</w:t>
      </w:r>
      <w:r>
        <w:rPr>
          <w:smallCaps/>
          <w:spacing w:val="-12"/>
        </w:rPr>
        <w:t> </w:t>
      </w:r>
      <w:r>
        <w:rPr>
          <w:smallCaps/>
        </w:rPr>
        <w:t>Director’s</w:t>
      </w:r>
      <w:r>
        <w:rPr>
          <w:smallCaps/>
          <w:spacing w:val="-13"/>
        </w:rPr>
        <w:t> </w:t>
      </w:r>
      <w:r>
        <w:rPr>
          <w:smallCaps/>
          <w:spacing w:val="-2"/>
        </w:rPr>
        <w:t>Report</w:t>
      </w:r>
    </w:p>
    <w:p>
      <w:pPr>
        <w:pStyle w:val="BodyText"/>
        <w:spacing w:before="54"/>
        <w:ind w:left="0"/>
        <w:rPr>
          <w:b/>
          <w:sz w:val="19"/>
        </w:rPr>
      </w:pPr>
    </w:p>
    <w:p>
      <w:pPr>
        <w:pStyle w:val="BodyText"/>
        <w:ind w:right="183"/>
      </w:pPr>
      <w:r>
        <w:rPr>
          <w:color w:val="1A181A"/>
        </w:rPr>
        <w:t>As the final agenda</w:t>
      </w:r>
      <w:r>
        <w:rPr>
          <w:color w:val="1A181A"/>
          <w:spacing w:val="-1"/>
        </w:rPr>
        <w:t> </w:t>
      </w:r>
      <w:r>
        <w:rPr>
          <w:color w:val="1A181A"/>
        </w:rPr>
        <w:t>item, Ms.</w:t>
      </w:r>
      <w:r>
        <w:rPr>
          <w:color w:val="1A181A"/>
          <w:spacing w:val="-1"/>
        </w:rPr>
        <w:t> </w:t>
      </w:r>
      <w:r>
        <w:rPr>
          <w:color w:val="1A181A"/>
        </w:rPr>
        <w:t>Peters gave</w:t>
      </w:r>
      <w:r>
        <w:rPr>
          <w:color w:val="1A181A"/>
          <w:spacing w:val="-1"/>
        </w:rPr>
        <w:t> </w:t>
      </w:r>
      <w:r>
        <w:rPr>
          <w:color w:val="1A181A"/>
        </w:rPr>
        <w:t>her</w:t>
      </w:r>
      <w:r>
        <w:rPr>
          <w:color w:val="1A181A"/>
          <w:spacing w:val="-1"/>
        </w:rPr>
        <w:t> </w:t>
      </w:r>
      <w:r>
        <w:rPr>
          <w:color w:val="1A181A"/>
        </w:rPr>
        <w:t>Executive</w:t>
      </w:r>
      <w:r>
        <w:rPr>
          <w:color w:val="1A181A"/>
          <w:spacing w:val="-1"/>
        </w:rPr>
        <w:t> </w:t>
      </w:r>
      <w:r>
        <w:rPr>
          <w:color w:val="1A181A"/>
        </w:rPr>
        <w:t>Director’s Report. She was happy to</w:t>
      </w:r>
      <w:r>
        <w:rPr>
          <w:color w:val="1A181A"/>
          <w:spacing w:val="-1"/>
        </w:rPr>
        <w:t> </w:t>
      </w:r>
      <w:r>
        <w:rPr>
          <w:color w:val="1A181A"/>
        </w:rPr>
        <w:t>announce that CHIA was able to sign another 10-year office lease. Ms. Peters then walked the Council through a brief</w:t>
      </w:r>
      <w:r>
        <w:rPr>
          <w:color w:val="1A181A"/>
          <w:spacing w:val="-1"/>
        </w:rPr>
        <w:t> </w:t>
      </w:r>
      <w:r>
        <w:rPr>
          <w:color w:val="1A181A"/>
        </w:rPr>
        <w:t>budget</w:t>
      </w:r>
      <w:r>
        <w:rPr>
          <w:color w:val="1A181A"/>
          <w:spacing w:val="-1"/>
        </w:rPr>
        <w:t> </w:t>
      </w:r>
      <w:r>
        <w:rPr>
          <w:color w:val="1A181A"/>
        </w:rPr>
        <w:t>update,</w:t>
      </w:r>
      <w:r>
        <w:rPr>
          <w:color w:val="1A181A"/>
          <w:spacing w:val="-1"/>
        </w:rPr>
        <w:t> </w:t>
      </w:r>
      <w:r>
        <w:rPr>
          <w:color w:val="1A181A"/>
        </w:rPr>
        <w:t>noting</w:t>
      </w:r>
      <w:r>
        <w:rPr>
          <w:color w:val="1A181A"/>
          <w:spacing w:val="-1"/>
        </w:rPr>
        <w:t> </w:t>
      </w:r>
      <w:r>
        <w:rPr>
          <w:color w:val="1A181A"/>
        </w:rPr>
        <w:t>that</w:t>
      </w:r>
      <w:r>
        <w:rPr>
          <w:color w:val="1A181A"/>
          <w:spacing w:val="-3"/>
        </w:rPr>
        <w:t> </w:t>
      </w:r>
      <w:r>
        <w:rPr>
          <w:color w:val="1A181A"/>
        </w:rPr>
        <w:t>the</w:t>
      </w:r>
      <w:r>
        <w:rPr>
          <w:color w:val="1A181A"/>
          <w:spacing w:val="-2"/>
        </w:rPr>
        <w:t> </w:t>
      </w:r>
      <w:r>
        <w:rPr>
          <w:color w:val="1A181A"/>
        </w:rPr>
        <w:t>agency</w:t>
      </w:r>
      <w:r>
        <w:rPr>
          <w:color w:val="1A181A"/>
          <w:spacing w:val="-2"/>
        </w:rPr>
        <w:t> </w:t>
      </w:r>
      <w:r>
        <w:rPr>
          <w:color w:val="1A181A"/>
        </w:rPr>
        <w:t>was working</w:t>
      </w:r>
      <w:r>
        <w:rPr>
          <w:color w:val="1A181A"/>
          <w:spacing w:val="-3"/>
        </w:rPr>
        <w:t> </w:t>
      </w:r>
      <w:r>
        <w:rPr>
          <w:color w:val="1A181A"/>
        </w:rPr>
        <w:t>to</w:t>
      </w:r>
      <w:r>
        <w:rPr>
          <w:color w:val="1A181A"/>
          <w:spacing w:val="-1"/>
        </w:rPr>
        <w:t> </w:t>
      </w:r>
      <w:r>
        <w:rPr>
          <w:color w:val="1A181A"/>
        </w:rPr>
        <w:t>develop</w:t>
      </w:r>
      <w:r>
        <w:rPr>
          <w:color w:val="1A181A"/>
          <w:spacing w:val="-2"/>
        </w:rPr>
        <w:t> </w:t>
      </w:r>
      <w:r>
        <w:rPr>
          <w:color w:val="1A181A"/>
        </w:rPr>
        <w:t>its</w:t>
      </w:r>
      <w:r>
        <w:rPr>
          <w:color w:val="1A181A"/>
          <w:spacing w:val="-2"/>
        </w:rPr>
        <w:t> </w:t>
      </w:r>
      <w:r>
        <w:rPr>
          <w:color w:val="1A181A"/>
        </w:rPr>
        <w:t>FY 2026</w:t>
      </w:r>
      <w:r>
        <w:rPr>
          <w:color w:val="1A181A"/>
          <w:spacing w:val="-3"/>
        </w:rPr>
        <w:t> </w:t>
      </w:r>
      <w:r>
        <w:rPr>
          <w:color w:val="1A181A"/>
        </w:rPr>
        <w:t>budget</w:t>
      </w:r>
      <w:r>
        <w:rPr>
          <w:color w:val="1A181A"/>
          <w:spacing w:val="-3"/>
        </w:rPr>
        <w:t> </w:t>
      </w:r>
      <w:r>
        <w:rPr>
          <w:color w:val="1A181A"/>
        </w:rPr>
        <w:t>submission. She also provided a legislative update, noting a recently passed long-term care bill</w:t>
      </w:r>
      <w:r>
        <w:rPr>
          <w:color w:val="1A181A"/>
          <w:spacing w:val="-1"/>
        </w:rPr>
        <w:t> </w:t>
      </w:r>
      <w:r>
        <w:rPr>
          <w:color w:val="1A181A"/>
        </w:rPr>
        <w:t>that directs CHIA to</w:t>
      </w:r>
      <w:r>
        <w:rPr>
          <w:color w:val="1A181A"/>
          <w:spacing w:val="-1"/>
        </w:rPr>
        <w:t> </w:t>
      </w:r>
      <w:r>
        <w:rPr>
          <w:color w:val="1A181A"/>
        </w:rPr>
        <w:t>work with the Department of Public Health to examine and report on the financial performance of skilled nursing</w:t>
      </w:r>
      <w:r>
        <w:rPr>
          <w:color w:val="1A181A"/>
          <w:spacing w:val="-3"/>
        </w:rPr>
        <w:t> </w:t>
      </w:r>
      <w:r>
        <w:rPr>
          <w:color w:val="1A181A"/>
        </w:rPr>
        <w:t>facilities;</w:t>
      </w:r>
      <w:r>
        <w:rPr>
          <w:color w:val="1A181A"/>
          <w:spacing w:val="-2"/>
        </w:rPr>
        <w:t> </w:t>
      </w:r>
      <w:r>
        <w:rPr>
          <w:color w:val="1A181A"/>
        </w:rPr>
        <w:t>additionally,</w:t>
      </w:r>
      <w:r>
        <w:rPr>
          <w:color w:val="1A181A"/>
          <w:spacing w:val="-4"/>
        </w:rPr>
        <w:t> </w:t>
      </w:r>
      <w:r>
        <w:rPr>
          <w:color w:val="1A181A"/>
        </w:rPr>
        <w:t>Ms.</w:t>
      </w:r>
      <w:r>
        <w:rPr>
          <w:color w:val="1A181A"/>
          <w:spacing w:val="-4"/>
        </w:rPr>
        <w:t> </w:t>
      </w:r>
      <w:r>
        <w:rPr>
          <w:color w:val="1A181A"/>
        </w:rPr>
        <w:t>Peters</w:t>
      </w:r>
      <w:r>
        <w:rPr>
          <w:color w:val="1A181A"/>
          <w:spacing w:val="-2"/>
        </w:rPr>
        <w:t> </w:t>
      </w:r>
      <w:r>
        <w:rPr>
          <w:color w:val="1A181A"/>
        </w:rPr>
        <w:t>indicated</w:t>
      </w:r>
      <w:r>
        <w:rPr>
          <w:color w:val="1A181A"/>
          <w:spacing w:val="-5"/>
        </w:rPr>
        <w:t> </w:t>
      </w:r>
      <w:r>
        <w:rPr>
          <w:color w:val="1A181A"/>
        </w:rPr>
        <w:t>there</w:t>
      </w:r>
      <w:r>
        <w:rPr>
          <w:color w:val="1A181A"/>
          <w:spacing w:val="-4"/>
        </w:rPr>
        <w:t> </w:t>
      </w:r>
      <w:r>
        <w:rPr>
          <w:color w:val="1A181A"/>
        </w:rPr>
        <w:t>are</w:t>
      </w:r>
      <w:r>
        <w:rPr>
          <w:color w:val="1A181A"/>
          <w:spacing w:val="-3"/>
        </w:rPr>
        <w:t> </w:t>
      </w:r>
      <w:r>
        <w:rPr>
          <w:color w:val="1A181A"/>
        </w:rPr>
        <w:t>still</w:t>
      </w:r>
      <w:r>
        <w:rPr>
          <w:color w:val="1A181A"/>
          <w:spacing w:val="-2"/>
        </w:rPr>
        <w:t> </w:t>
      </w:r>
      <w:r>
        <w:rPr>
          <w:color w:val="1A181A"/>
        </w:rPr>
        <w:t>a</w:t>
      </w:r>
      <w:r>
        <w:rPr>
          <w:color w:val="1A181A"/>
          <w:spacing w:val="-4"/>
        </w:rPr>
        <w:t> </w:t>
      </w:r>
      <w:r>
        <w:rPr>
          <w:color w:val="1A181A"/>
        </w:rPr>
        <w:t>couple</w:t>
      </w:r>
      <w:r>
        <w:rPr>
          <w:color w:val="1A181A"/>
          <w:spacing w:val="-4"/>
        </w:rPr>
        <w:t> </w:t>
      </w:r>
      <w:r>
        <w:rPr>
          <w:color w:val="1A181A"/>
        </w:rPr>
        <w:t>bills</w:t>
      </w:r>
      <w:r>
        <w:rPr>
          <w:color w:val="1A181A"/>
          <w:spacing w:val="-2"/>
        </w:rPr>
        <w:t> </w:t>
      </w:r>
      <w:r>
        <w:rPr>
          <w:color w:val="1A181A"/>
        </w:rPr>
        <w:t>pending</w:t>
      </w:r>
      <w:r>
        <w:rPr>
          <w:color w:val="1A181A"/>
          <w:spacing w:val="-3"/>
        </w:rPr>
        <w:t> </w:t>
      </w:r>
      <w:r>
        <w:rPr>
          <w:color w:val="1A181A"/>
        </w:rPr>
        <w:t>in</w:t>
      </w:r>
      <w:r>
        <w:rPr>
          <w:color w:val="1A181A"/>
          <w:spacing w:val="-4"/>
        </w:rPr>
        <w:t> </w:t>
      </w:r>
      <w:r>
        <w:rPr>
          <w:color w:val="1A181A"/>
        </w:rPr>
        <w:t>the</w:t>
      </w:r>
      <w:r>
        <w:rPr>
          <w:color w:val="1A181A"/>
          <w:spacing w:val="-4"/>
        </w:rPr>
        <w:t> </w:t>
      </w:r>
      <w:r>
        <w:rPr>
          <w:color w:val="1A181A"/>
        </w:rPr>
        <w:t>Legislature that may impact CHIA.</w:t>
      </w:r>
    </w:p>
    <w:p>
      <w:pPr>
        <w:pStyle w:val="BodyText"/>
        <w:spacing w:before="1"/>
        <w:ind w:left="0"/>
      </w:pPr>
    </w:p>
    <w:p>
      <w:pPr>
        <w:pStyle w:val="BodyText"/>
        <w:spacing w:before="1"/>
        <w:ind w:right="183"/>
      </w:pPr>
      <w:r>
        <w:rPr>
          <w:color w:val="1A181A"/>
        </w:rPr>
        <w:t>Ms. Peters then briefly updated the Council on the eAPCD project, stating that the project is largely on track</w:t>
      </w:r>
      <w:r>
        <w:rPr>
          <w:color w:val="1A181A"/>
          <w:spacing w:val="-4"/>
        </w:rPr>
        <w:t> </w:t>
      </w:r>
      <w:r>
        <w:rPr>
          <w:color w:val="1A181A"/>
        </w:rPr>
        <w:t>despite</w:t>
      </w:r>
      <w:r>
        <w:rPr>
          <w:color w:val="1A181A"/>
          <w:spacing w:val="-3"/>
        </w:rPr>
        <w:t> </w:t>
      </w:r>
      <w:r>
        <w:rPr>
          <w:color w:val="1A181A"/>
        </w:rPr>
        <w:t>some</w:t>
      </w:r>
      <w:r>
        <w:rPr>
          <w:color w:val="1A181A"/>
          <w:spacing w:val="-3"/>
        </w:rPr>
        <w:t> </w:t>
      </w:r>
      <w:r>
        <w:rPr>
          <w:color w:val="1A181A"/>
        </w:rPr>
        <w:t>delays</w:t>
      </w:r>
      <w:r>
        <w:rPr>
          <w:color w:val="1A181A"/>
          <w:spacing w:val="-2"/>
        </w:rPr>
        <w:t> </w:t>
      </w:r>
      <w:r>
        <w:rPr>
          <w:color w:val="1A181A"/>
        </w:rPr>
        <w:t>due</w:t>
      </w:r>
      <w:r>
        <w:rPr>
          <w:color w:val="1A181A"/>
          <w:spacing w:val="-5"/>
        </w:rPr>
        <w:t> </w:t>
      </w:r>
      <w:r>
        <w:rPr>
          <w:color w:val="1A181A"/>
        </w:rPr>
        <w:t>to</w:t>
      </w:r>
      <w:r>
        <w:rPr>
          <w:color w:val="1A181A"/>
          <w:spacing w:val="-2"/>
        </w:rPr>
        <w:t> </w:t>
      </w:r>
      <w:r>
        <w:rPr>
          <w:color w:val="1A181A"/>
        </w:rPr>
        <w:t>staffing</w:t>
      </w:r>
      <w:r>
        <w:rPr>
          <w:color w:val="1A181A"/>
          <w:spacing w:val="-5"/>
        </w:rPr>
        <w:t> </w:t>
      </w:r>
      <w:r>
        <w:rPr>
          <w:color w:val="1A181A"/>
        </w:rPr>
        <w:t>constraints.</w:t>
      </w:r>
      <w:r>
        <w:rPr>
          <w:color w:val="1A181A"/>
          <w:spacing w:val="-3"/>
        </w:rPr>
        <w:t> </w:t>
      </w:r>
      <w:r>
        <w:rPr>
          <w:color w:val="1A181A"/>
        </w:rPr>
        <w:t>She</w:t>
      </w:r>
      <w:r>
        <w:rPr>
          <w:color w:val="1A181A"/>
          <w:spacing w:val="-6"/>
        </w:rPr>
        <w:t> </w:t>
      </w:r>
      <w:r>
        <w:rPr>
          <w:color w:val="1A181A"/>
        </w:rPr>
        <w:t>concluded</w:t>
      </w:r>
      <w:r>
        <w:rPr>
          <w:color w:val="1A181A"/>
          <w:spacing w:val="-3"/>
        </w:rPr>
        <w:t> </w:t>
      </w:r>
      <w:r>
        <w:rPr>
          <w:color w:val="1A181A"/>
        </w:rPr>
        <w:t>by</w:t>
      </w:r>
      <w:r>
        <w:rPr>
          <w:color w:val="1A181A"/>
          <w:spacing w:val="-4"/>
        </w:rPr>
        <w:t> </w:t>
      </w:r>
      <w:r>
        <w:rPr>
          <w:color w:val="1A181A"/>
        </w:rPr>
        <w:t>walking</w:t>
      </w:r>
      <w:r>
        <w:rPr>
          <w:color w:val="1A181A"/>
          <w:spacing w:val="-5"/>
        </w:rPr>
        <w:t> </w:t>
      </w:r>
      <w:r>
        <w:rPr>
          <w:color w:val="1A181A"/>
        </w:rPr>
        <w:t>through</w:t>
      </w:r>
      <w:r>
        <w:rPr>
          <w:color w:val="1A181A"/>
          <w:spacing w:val="-5"/>
        </w:rPr>
        <w:t> </w:t>
      </w:r>
      <w:r>
        <w:rPr>
          <w:color w:val="1A181A"/>
        </w:rPr>
        <w:t>recently</w:t>
      </w:r>
      <w:r>
        <w:rPr>
          <w:color w:val="1A181A"/>
          <w:spacing w:val="-4"/>
        </w:rPr>
        <w:t> </w:t>
      </w:r>
      <w:r>
        <w:rPr>
          <w:color w:val="1A181A"/>
        </w:rPr>
        <w:t>passed publications and highlighting some upcoming reports that are planned for the coming months.</w:t>
      </w:r>
    </w:p>
    <w:p>
      <w:pPr>
        <w:pStyle w:val="BodyText"/>
        <w:spacing w:before="229"/>
        <w:ind w:right="190"/>
      </w:pPr>
      <w:r>
        <w:rPr>
          <w:color w:val="1A181A"/>
        </w:rPr>
        <w:t>Mr.</w:t>
      </w:r>
      <w:r>
        <w:rPr>
          <w:color w:val="1A181A"/>
          <w:spacing w:val="-4"/>
        </w:rPr>
        <w:t> </w:t>
      </w:r>
      <w:r>
        <w:rPr>
          <w:color w:val="1A181A"/>
        </w:rPr>
        <w:t>Sager</w:t>
      </w:r>
      <w:r>
        <w:rPr>
          <w:color w:val="1A181A"/>
          <w:spacing w:val="-3"/>
        </w:rPr>
        <w:t> </w:t>
      </w:r>
      <w:r>
        <w:rPr>
          <w:color w:val="1A181A"/>
        </w:rPr>
        <w:t>called</w:t>
      </w:r>
      <w:r>
        <w:rPr>
          <w:color w:val="1A181A"/>
          <w:spacing w:val="-4"/>
        </w:rPr>
        <w:t> </w:t>
      </w:r>
      <w:r>
        <w:rPr>
          <w:color w:val="1A181A"/>
        </w:rPr>
        <w:t>for a</w:t>
      </w:r>
      <w:r>
        <w:rPr>
          <w:color w:val="1A181A"/>
          <w:spacing w:val="-4"/>
        </w:rPr>
        <w:t> </w:t>
      </w:r>
      <w:r>
        <w:rPr>
          <w:color w:val="1A181A"/>
        </w:rPr>
        <w:t>motion</w:t>
      </w:r>
      <w:r>
        <w:rPr>
          <w:color w:val="1A181A"/>
          <w:spacing w:val="-4"/>
        </w:rPr>
        <w:t> </w:t>
      </w:r>
      <w:r>
        <w:rPr>
          <w:color w:val="1A181A"/>
        </w:rPr>
        <w:t>to</w:t>
      </w:r>
      <w:r>
        <w:rPr>
          <w:color w:val="1A181A"/>
          <w:spacing w:val="-1"/>
        </w:rPr>
        <w:t> </w:t>
      </w:r>
      <w:r>
        <w:rPr>
          <w:color w:val="1A181A"/>
        </w:rPr>
        <w:t>acknowledge</w:t>
      </w:r>
      <w:r>
        <w:rPr>
          <w:color w:val="1A181A"/>
          <w:spacing w:val="-4"/>
        </w:rPr>
        <w:t> </w:t>
      </w:r>
      <w:r>
        <w:rPr>
          <w:color w:val="1A181A"/>
        </w:rPr>
        <w:t>the</w:t>
      </w:r>
      <w:r>
        <w:rPr>
          <w:color w:val="1A181A"/>
          <w:spacing w:val="-5"/>
        </w:rPr>
        <w:t> </w:t>
      </w:r>
      <w:r>
        <w:rPr>
          <w:color w:val="1A181A"/>
        </w:rPr>
        <w:t>work</w:t>
      </w:r>
      <w:r>
        <w:rPr>
          <w:color w:val="1A181A"/>
          <w:spacing w:val="-2"/>
        </w:rPr>
        <w:t> </w:t>
      </w:r>
      <w:r>
        <w:rPr>
          <w:color w:val="1A181A"/>
        </w:rPr>
        <w:t>of</w:t>
      </w:r>
      <w:r>
        <w:rPr>
          <w:color w:val="1A181A"/>
          <w:spacing w:val="-4"/>
        </w:rPr>
        <w:t> </w:t>
      </w:r>
      <w:r>
        <w:rPr>
          <w:color w:val="1A181A"/>
        </w:rPr>
        <w:t>CHIA</w:t>
      </w:r>
      <w:r>
        <w:rPr>
          <w:color w:val="1A181A"/>
          <w:spacing w:val="-4"/>
        </w:rPr>
        <w:t> </w:t>
      </w:r>
      <w:r>
        <w:rPr>
          <w:color w:val="1A181A"/>
        </w:rPr>
        <w:t>and</w:t>
      </w:r>
      <w:r>
        <w:rPr>
          <w:color w:val="1A181A"/>
          <w:spacing w:val="-2"/>
        </w:rPr>
        <w:t> </w:t>
      </w:r>
      <w:r>
        <w:rPr>
          <w:color w:val="1A181A"/>
        </w:rPr>
        <w:t>congratulate</w:t>
      </w:r>
      <w:r>
        <w:rPr>
          <w:color w:val="1A181A"/>
          <w:spacing w:val="-1"/>
        </w:rPr>
        <w:t> </w:t>
      </w:r>
      <w:r>
        <w:rPr>
          <w:color w:val="1A181A"/>
        </w:rPr>
        <w:t>Ms.</w:t>
      </w:r>
      <w:r>
        <w:rPr>
          <w:color w:val="1A181A"/>
          <w:spacing w:val="-4"/>
        </w:rPr>
        <w:t> </w:t>
      </w:r>
      <w:r>
        <w:rPr>
          <w:color w:val="1A181A"/>
        </w:rPr>
        <w:t>Peters</w:t>
      </w:r>
      <w:r>
        <w:rPr>
          <w:color w:val="1A181A"/>
          <w:spacing w:val="-1"/>
        </w:rPr>
        <w:t> </w:t>
      </w:r>
      <w:r>
        <w:rPr>
          <w:color w:val="1A181A"/>
        </w:rPr>
        <w:t>and</w:t>
      </w:r>
      <w:r>
        <w:rPr>
          <w:color w:val="1A181A"/>
          <w:spacing w:val="-4"/>
        </w:rPr>
        <w:t> </w:t>
      </w:r>
      <w:r>
        <w:rPr>
          <w:color w:val="1A181A"/>
        </w:rPr>
        <w:t>the entire CHIA team for doing a terrific job.</w:t>
      </w:r>
    </w:p>
    <w:p>
      <w:pPr>
        <w:pStyle w:val="BodyText"/>
        <w:spacing w:before="47"/>
        <w:ind w:left="0"/>
      </w:pPr>
    </w:p>
    <w:p>
      <w:pPr>
        <w:pStyle w:val="Heading1"/>
        <w:numPr>
          <w:ilvl w:val="0"/>
          <w:numId w:val="1"/>
        </w:numPr>
        <w:tabs>
          <w:tab w:pos="820" w:val="left" w:leader="none"/>
        </w:tabs>
        <w:spacing w:line="240" w:lineRule="auto" w:before="1" w:after="0"/>
        <w:ind w:left="820" w:right="0" w:hanging="720"/>
        <w:jc w:val="left"/>
      </w:pPr>
      <w:r>
        <w:rPr>
          <w:smallCaps/>
          <w:spacing w:val="-2"/>
        </w:rPr>
        <w:t>Closing</w:t>
      </w:r>
    </w:p>
    <w:p>
      <w:pPr>
        <w:pStyle w:val="BodyText"/>
        <w:spacing w:before="11"/>
        <w:ind w:left="0"/>
        <w:rPr>
          <w:b/>
          <w:sz w:val="19"/>
        </w:rPr>
      </w:pPr>
    </w:p>
    <w:p>
      <w:pPr>
        <w:pStyle w:val="BodyText"/>
      </w:pPr>
      <w:r>
        <w:rPr/>
        <w:t>With</w:t>
      </w:r>
      <w:r>
        <w:rPr>
          <w:spacing w:val="-4"/>
        </w:rPr>
        <w:t> </w:t>
      </w:r>
      <w:r>
        <w:rPr/>
        <w:t>no</w:t>
      </w:r>
      <w:r>
        <w:rPr>
          <w:spacing w:val="-4"/>
        </w:rPr>
        <w:t> </w:t>
      </w:r>
      <w:r>
        <w:rPr/>
        <w:t>other</w:t>
      </w:r>
      <w:r>
        <w:rPr>
          <w:spacing w:val="-3"/>
        </w:rPr>
        <w:t> </w:t>
      </w:r>
      <w:r>
        <w:rPr/>
        <w:t>business</w:t>
      </w:r>
      <w:r>
        <w:rPr>
          <w:spacing w:val="-2"/>
        </w:rPr>
        <w:t> </w:t>
      </w:r>
      <w:r>
        <w:rPr/>
        <w:t>to</w:t>
      </w:r>
      <w:r>
        <w:rPr>
          <w:spacing w:val="-2"/>
        </w:rPr>
        <w:t> </w:t>
      </w:r>
      <w:r>
        <w:rPr/>
        <w:t>discuss,</w:t>
      </w:r>
      <w:r>
        <w:rPr>
          <w:spacing w:val="-2"/>
        </w:rPr>
        <w:t> </w:t>
      </w:r>
      <w:r>
        <w:rPr/>
        <w:t>Ms.</w:t>
      </w:r>
      <w:r>
        <w:rPr>
          <w:spacing w:val="-4"/>
        </w:rPr>
        <w:t> </w:t>
      </w:r>
      <w:r>
        <w:rPr/>
        <w:t>Donohue</w:t>
      </w:r>
      <w:r>
        <w:rPr>
          <w:spacing w:val="-4"/>
        </w:rPr>
        <w:t> </w:t>
      </w:r>
      <w:r>
        <w:rPr/>
        <w:t>sought</w:t>
      </w:r>
      <w:r>
        <w:rPr>
          <w:spacing w:val="-4"/>
        </w:rPr>
        <w:t> </w:t>
      </w:r>
      <w:r>
        <w:rPr/>
        <w:t>to</w:t>
      </w:r>
      <w:r>
        <w:rPr>
          <w:spacing w:val="-1"/>
        </w:rPr>
        <w:t> </w:t>
      </w:r>
      <w:r>
        <w:rPr/>
        <w:t>adjourn</w:t>
      </w:r>
      <w:r>
        <w:rPr>
          <w:spacing w:val="-1"/>
        </w:rPr>
        <w:t> </w:t>
      </w:r>
      <w:r>
        <w:rPr/>
        <w:t>the</w:t>
      </w:r>
      <w:r>
        <w:rPr>
          <w:spacing w:val="-2"/>
        </w:rPr>
        <w:t> </w:t>
      </w:r>
      <w:r>
        <w:rPr/>
        <w:t>meeting;</w:t>
      </w:r>
      <w:r>
        <w:rPr>
          <w:spacing w:val="-3"/>
        </w:rPr>
        <w:t> </w:t>
      </w:r>
      <w:r>
        <w:rPr/>
        <w:t>the</w:t>
      </w:r>
      <w:r>
        <w:rPr>
          <w:spacing w:val="-4"/>
        </w:rPr>
        <w:t> </w:t>
      </w:r>
      <w:r>
        <w:rPr/>
        <w:t>meeting</w:t>
      </w:r>
      <w:r>
        <w:rPr>
          <w:spacing w:val="-3"/>
        </w:rPr>
        <w:t> </w:t>
      </w:r>
      <w:r>
        <w:rPr/>
        <w:t>concluded</w:t>
      </w:r>
      <w:r>
        <w:rPr>
          <w:spacing w:val="-1"/>
        </w:rPr>
        <w:t> </w:t>
      </w:r>
      <w:r>
        <w:rPr/>
        <w:t>at 3:54 p.m.</w:t>
      </w:r>
    </w:p>
    <w:sectPr>
      <w:pgSz w:w="12240" w:h="15840"/>
      <w:pgMar w:header="727" w:footer="540" w:top="1640" w:bottom="740" w:left="1340" w:right="13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Helvetica">
    <w:altName w:val="Helvetica"/>
    <w:charset w:val="0"/>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pPr>
    <w:r>
      <w:rPr/>
      <mc:AlternateContent>
        <mc:Choice Requires="wps">
          <w:drawing>
            <wp:anchor distT="0" distB="0" distL="0" distR="0" allowOverlap="1" layoutInCell="1" locked="0" behindDoc="1" simplePos="0" relativeHeight="487539712">
              <wp:simplePos x="0" y="0"/>
              <wp:positionH relativeFrom="page">
                <wp:posOffset>6751066</wp:posOffset>
              </wp:positionH>
              <wp:positionV relativeFrom="page">
                <wp:posOffset>9575793</wp:posOffset>
              </wp:positionV>
              <wp:extent cx="159385" cy="167005"/>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159385" cy="167005"/>
                      </a:xfrm>
                      <a:prstGeom prst="rect">
                        <a:avLst/>
                      </a:prstGeom>
                    </wps:spPr>
                    <wps:txbx>
                      <w:txbxContent>
                        <w:p>
                          <w:pPr>
                            <w:pStyle w:val="BodyText"/>
                            <w:spacing w:before="12"/>
                            <w:ind w:left="60"/>
                          </w:pPr>
                          <w:r>
                            <w:rPr>
                              <w:spacing w:val="-10"/>
                            </w:rPr>
                            <w:fldChar w:fldCharType="begin"/>
                          </w:r>
                          <w:r>
                            <w:rPr>
                              <w:spacing w:val="-10"/>
                            </w:rPr>
                            <w:instrText>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v:shape style="position:absolute;margin-left:531.580017pt;margin-top:753.999451pt;width:12.55pt;height:13.15pt;mso-position-horizontal-relative:page;mso-position-vertical-relative:page;z-index:-15776768" type="#_x0000_t202" id="docshape2" filled="false" stroked="false">
              <v:textbox inset="0,0,0,0">
                <w:txbxContent>
                  <w:p>
                    <w:pPr>
                      <w:pStyle w:val="BodyText"/>
                      <w:spacing w:before="12"/>
                      <w:ind w:left="60"/>
                    </w:pPr>
                    <w:r>
                      <w:rPr>
                        <w:spacing w:val="-10"/>
                      </w:rPr>
                      <w:fldChar w:fldCharType="begin"/>
                    </w:r>
                    <w:r>
                      <w:rPr>
                        <w:spacing w:val="-10"/>
                      </w:rPr>
                      <w:instrText> PAGE </w:instrText>
                    </w:r>
                    <w:r>
                      <w:rPr>
                        <w:spacing w:val="-10"/>
                      </w:rPr>
                      <w:fldChar w:fldCharType="separate"/>
                    </w:r>
                    <w:r>
                      <w:rPr>
                        <w:spacing w:val="-10"/>
                      </w:rPr>
                      <w:t>1</w:t>
                    </w:r>
                    <w:r>
                      <w:rPr>
                        <w:spacing w:val="-10"/>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pPr>
    <w:r>
      <w:rPr/>
      <mc:AlternateContent>
        <mc:Choice Requires="wps">
          <w:drawing>
            <wp:anchor distT="0" distB="0" distL="0" distR="0" allowOverlap="1" layoutInCell="1" locked="0" behindDoc="1" simplePos="0" relativeHeight="487539200">
              <wp:simplePos x="0" y="0"/>
              <wp:positionH relativeFrom="page">
                <wp:posOffset>2223261</wp:posOffset>
              </wp:positionH>
              <wp:positionV relativeFrom="page">
                <wp:posOffset>448637</wp:posOffset>
              </wp:positionV>
              <wp:extent cx="3325495" cy="504190"/>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3325495" cy="504190"/>
                      </a:xfrm>
                      <a:prstGeom prst="rect">
                        <a:avLst/>
                      </a:prstGeom>
                    </wps:spPr>
                    <wps:txbx>
                      <w:txbxContent>
                        <w:p>
                          <w:pPr>
                            <w:spacing w:before="13"/>
                            <w:ind w:left="5" w:right="3" w:firstLine="0"/>
                            <w:jc w:val="center"/>
                            <w:rPr>
                              <w:b/>
                              <w:sz w:val="22"/>
                            </w:rPr>
                          </w:pPr>
                          <w:r>
                            <w:rPr>
                              <w:b/>
                              <w:sz w:val="22"/>
                            </w:rPr>
                            <w:t>Minutes</w:t>
                          </w:r>
                          <w:r>
                            <w:rPr>
                              <w:b/>
                              <w:spacing w:val="-7"/>
                              <w:sz w:val="22"/>
                            </w:rPr>
                            <w:t> </w:t>
                          </w:r>
                          <w:r>
                            <w:rPr>
                              <w:b/>
                              <w:sz w:val="22"/>
                            </w:rPr>
                            <w:t>from</w:t>
                          </w:r>
                          <w:r>
                            <w:rPr>
                              <w:b/>
                              <w:spacing w:val="-7"/>
                              <w:sz w:val="22"/>
                            </w:rPr>
                            <w:t> </w:t>
                          </w:r>
                          <w:r>
                            <w:rPr>
                              <w:b/>
                              <w:sz w:val="22"/>
                            </w:rPr>
                            <w:t>the</w:t>
                          </w:r>
                          <w:r>
                            <w:rPr>
                              <w:b/>
                              <w:spacing w:val="-5"/>
                              <w:sz w:val="22"/>
                            </w:rPr>
                            <w:t> </w:t>
                          </w:r>
                          <w:r>
                            <w:rPr>
                              <w:b/>
                              <w:sz w:val="22"/>
                            </w:rPr>
                            <w:t>Health</w:t>
                          </w:r>
                          <w:r>
                            <w:rPr>
                              <w:b/>
                              <w:spacing w:val="-6"/>
                              <w:sz w:val="22"/>
                            </w:rPr>
                            <w:t> </w:t>
                          </w:r>
                          <w:r>
                            <w:rPr>
                              <w:b/>
                              <w:sz w:val="22"/>
                            </w:rPr>
                            <w:t>Information</w:t>
                          </w:r>
                          <w:r>
                            <w:rPr>
                              <w:b/>
                              <w:spacing w:val="-8"/>
                              <w:sz w:val="22"/>
                            </w:rPr>
                            <w:t> </w:t>
                          </w:r>
                          <w:r>
                            <w:rPr>
                              <w:b/>
                              <w:sz w:val="22"/>
                            </w:rPr>
                            <w:t>and</w:t>
                          </w:r>
                          <w:r>
                            <w:rPr>
                              <w:b/>
                              <w:spacing w:val="-8"/>
                              <w:sz w:val="22"/>
                            </w:rPr>
                            <w:t> </w:t>
                          </w:r>
                          <w:r>
                            <w:rPr>
                              <w:b/>
                              <w:sz w:val="22"/>
                            </w:rPr>
                            <w:t>Analysis Oversight Council Meeting</w:t>
                          </w:r>
                        </w:p>
                        <w:p>
                          <w:pPr>
                            <w:spacing w:before="1"/>
                            <w:ind w:left="5" w:right="0" w:firstLine="0"/>
                            <w:jc w:val="center"/>
                            <w:rPr>
                              <w:b/>
                              <w:sz w:val="22"/>
                            </w:rPr>
                          </w:pPr>
                          <w:r>
                            <w:rPr>
                              <w:b/>
                              <w:sz w:val="22"/>
                            </w:rPr>
                            <w:t>December</w:t>
                          </w:r>
                          <w:r>
                            <w:rPr>
                              <w:b/>
                              <w:spacing w:val="-5"/>
                              <w:sz w:val="22"/>
                            </w:rPr>
                            <w:t> </w:t>
                          </w:r>
                          <w:r>
                            <w:rPr>
                              <w:b/>
                              <w:sz w:val="22"/>
                            </w:rPr>
                            <w:t>11,</w:t>
                          </w:r>
                          <w:r>
                            <w:rPr>
                              <w:b/>
                              <w:spacing w:val="-4"/>
                              <w:sz w:val="22"/>
                            </w:rPr>
                            <w:t> 2024</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175.059998pt;margin-top:35.325783pt;width:261.8500pt;height:39.7pt;mso-position-horizontal-relative:page;mso-position-vertical-relative:page;z-index:-15777280" type="#_x0000_t202" id="docshape1" filled="false" stroked="false">
              <v:textbox inset="0,0,0,0">
                <w:txbxContent>
                  <w:p>
                    <w:pPr>
                      <w:spacing w:before="13"/>
                      <w:ind w:left="5" w:right="3" w:firstLine="0"/>
                      <w:jc w:val="center"/>
                      <w:rPr>
                        <w:b/>
                        <w:sz w:val="22"/>
                      </w:rPr>
                    </w:pPr>
                    <w:r>
                      <w:rPr>
                        <w:b/>
                        <w:sz w:val="22"/>
                      </w:rPr>
                      <w:t>Minutes</w:t>
                    </w:r>
                    <w:r>
                      <w:rPr>
                        <w:b/>
                        <w:spacing w:val="-7"/>
                        <w:sz w:val="22"/>
                      </w:rPr>
                      <w:t> </w:t>
                    </w:r>
                    <w:r>
                      <w:rPr>
                        <w:b/>
                        <w:sz w:val="22"/>
                      </w:rPr>
                      <w:t>from</w:t>
                    </w:r>
                    <w:r>
                      <w:rPr>
                        <w:b/>
                        <w:spacing w:val="-7"/>
                        <w:sz w:val="22"/>
                      </w:rPr>
                      <w:t> </w:t>
                    </w:r>
                    <w:r>
                      <w:rPr>
                        <w:b/>
                        <w:sz w:val="22"/>
                      </w:rPr>
                      <w:t>the</w:t>
                    </w:r>
                    <w:r>
                      <w:rPr>
                        <w:b/>
                        <w:spacing w:val="-5"/>
                        <w:sz w:val="22"/>
                      </w:rPr>
                      <w:t> </w:t>
                    </w:r>
                    <w:r>
                      <w:rPr>
                        <w:b/>
                        <w:sz w:val="22"/>
                      </w:rPr>
                      <w:t>Health</w:t>
                    </w:r>
                    <w:r>
                      <w:rPr>
                        <w:b/>
                        <w:spacing w:val="-6"/>
                        <w:sz w:val="22"/>
                      </w:rPr>
                      <w:t> </w:t>
                    </w:r>
                    <w:r>
                      <w:rPr>
                        <w:b/>
                        <w:sz w:val="22"/>
                      </w:rPr>
                      <w:t>Information</w:t>
                    </w:r>
                    <w:r>
                      <w:rPr>
                        <w:b/>
                        <w:spacing w:val="-8"/>
                        <w:sz w:val="22"/>
                      </w:rPr>
                      <w:t> </w:t>
                    </w:r>
                    <w:r>
                      <w:rPr>
                        <w:b/>
                        <w:sz w:val="22"/>
                      </w:rPr>
                      <w:t>and</w:t>
                    </w:r>
                    <w:r>
                      <w:rPr>
                        <w:b/>
                        <w:spacing w:val="-8"/>
                        <w:sz w:val="22"/>
                      </w:rPr>
                      <w:t> </w:t>
                    </w:r>
                    <w:r>
                      <w:rPr>
                        <w:b/>
                        <w:sz w:val="22"/>
                      </w:rPr>
                      <w:t>Analysis Oversight Council Meeting</w:t>
                    </w:r>
                  </w:p>
                  <w:p>
                    <w:pPr>
                      <w:spacing w:before="1"/>
                      <w:ind w:left="5" w:right="0" w:firstLine="0"/>
                      <w:jc w:val="center"/>
                      <w:rPr>
                        <w:b/>
                        <w:sz w:val="22"/>
                      </w:rPr>
                    </w:pPr>
                    <w:r>
                      <w:rPr>
                        <w:b/>
                        <w:sz w:val="22"/>
                      </w:rPr>
                      <w:t>December</w:t>
                    </w:r>
                    <w:r>
                      <w:rPr>
                        <w:b/>
                        <w:spacing w:val="-5"/>
                        <w:sz w:val="22"/>
                      </w:rPr>
                      <w:t> </w:t>
                    </w:r>
                    <w:r>
                      <w:rPr>
                        <w:b/>
                        <w:sz w:val="22"/>
                      </w:rPr>
                      <w:t>11,</w:t>
                    </w:r>
                    <w:r>
                      <w:rPr>
                        <w:b/>
                        <w:spacing w:val="-4"/>
                        <w:sz w:val="22"/>
                      </w:rPr>
                      <w:t> 2024</w:t>
                    </w:r>
                  </w:p>
                </w:txbxContent>
              </v:textbox>
              <w10:wrap type="none"/>
            </v:shape>
          </w:pict>
        </mc:Fallback>
      </mc:AlternateConten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1"/>
      <w:numFmt w:val="upperRoman"/>
      <w:lvlText w:val="%1."/>
      <w:lvlJc w:val="left"/>
      <w:pPr>
        <w:ind w:left="820" w:hanging="720"/>
        <w:jc w:val="left"/>
      </w:pPr>
      <w:rPr>
        <w:rFonts w:hint="default" w:ascii="Arial" w:hAnsi="Arial" w:eastAsia="Arial" w:cs="Arial"/>
        <w:b/>
        <w:bCs/>
        <w:i w:val="0"/>
        <w:iCs w:val="0"/>
        <w:spacing w:val="0"/>
        <w:w w:val="100"/>
        <w:sz w:val="24"/>
        <w:szCs w:val="24"/>
        <w:lang w:val="en-US" w:eastAsia="en-US" w:bidi="ar-SA"/>
      </w:rPr>
    </w:lvl>
    <w:lvl w:ilvl="1">
      <w:start w:val="0"/>
      <w:numFmt w:val="bullet"/>
      <w:lvlText w:val="•"/>
      <w:lvlJc w:val="left"/>
      <w:pPr>
        <w:ind w:left="1696" w:hanging="720"/>
      </w:pPr>
      <w:rPr>
        <w:rFonts w:hint="default"/>
        <w:lang w:val="en-US" w:eastAsia="en-US" w:bidi="ar-SA"/>
      </w:rPr>
    </w:lvl>
    <w:lvl w:ilvl="2">
      <w:start w:val="0"/>
      <w:numFmt w:val="bullet"/>
      <w:lvlText w:val="•"/>
      <w:lvlJc w:val="left"/>
      <w:pPr>
        <w:ind w:left="2572" w:hanging="720"/>
      </w:pPr>
      <w:rPr>
        <w:rFonts w:hint="default"/>
        <w:lang w:val="en-US" w:eastAsia="en-US" w:bidi="ar-SA"/>
      </w:rPr>
    </w:lvl>
    <w:lvl w:ilvl="3">
      <w:start w:val="0"/>
      <w:numFmt w:val="bullet"/>
      <w:lvlText w:val="•"/>
      <w:lvlJc w:val="left"/>
      <w:pPr>
        <w:ind w:left="3448" w:hanging="720"/>
      </w:pPr>
      <w:rPr>
        <w:rFonts w:hint="default"/>
        <w:lang w:val="en-US" w:eastAsia="en-US" w:bidi="ar-SA"/>
      </w:rPr>
    </w:lvl>
    <w:lvl w:ilvl="4">
      <w:start w:val="0"/>
      <w:numFmt w:val="bullet"/>
      <w:lvlText w:val="•"/>
      <w:lvlJc w:val="left"/>
      <w:pPr>
        <w:ind w:left="4324" w:hanging="720"/>
      </w:pPr>
      <w:rPr>
        <w:rFonts w:hint="default"/>
        <w:lang w:val="en-US" w:eastAsia="en-US" w:bidi="ar-SA"/>
      </w:rPr>
    </w:lvl>
    <w:lvl w:ilvl="5">
      <w:start w:val="0"/>
      <w:numFmt w:val="bullet"/>
      <w:lvlText w:val="•"/>
      <w:lvlJc w:val="left"/>
      <w:pPr>
        <w:ind w:left="5200" w:hanging="720"/>
      </w:pPr>
      <w:rPr>
        <w:rFonts w:hint="default"/>
        <w:lang w:val="en-US" w:eastAsia="en-US" w:bidi="ar-SA"/>
      </w:rPr>
    </w:lvl>
    <w:lvl w:ilvl="6">
      <w:start w:val="0"/>
      <w:numFmt w:val="bullet"/>
      <w:lvlText w:val="•"/>
      <w:lvlJc w:val="left"/>
      <w:pPr>
        <w:ind w:left="6076" w:hanging="720"/>
      </w:pPr>
      <w:rPr>
        <w:rFonts w:hint="default"/>
        <w:lang w:val="en-US" w:eastAsia="en-US" w:bidi="ar-SA"/>
      </w:rPr>
    </w:lvl>
    <w:lvl w:ilvl="7">
      <w:start w:val="0"/>
      <w:numFmt w:val="bullet"/>
      <w:lvlText w:val="•"/>
      <w:lvlJc w:val="left"/>
      <w:pPr>
        <w:ind w:left="6952" w:hanging="720"/>
      </w:pPr>
      <w:rPr>
        <w:rFonts w:hint="default"/>
        <w:lang w:val="en-US" w:eastAsia="en-US" w:bidi="ar-SA"/>
      </w:rPr>
    </w:lvl>
    <w:lvl w:ilvl="8">
      <w:start w:val="0"/>
      <w:numFmt w:val="bullet"/>
      <w:lvlText w:val="•"/>
      <w:lvlJc w:val="left"/>
      <w:pPr>
        <w:ind w:left="7828" w:hanging="720"/>
      </w:pPr>
      <w:rPr>
        <w:rFonts w:hint="default"/>
        <w:lang w:val="en-US"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BodyText" w:type="paragraph">
    <w:name w:val="Body Text"/>
    <w:basedOn w:val="Normal"/>
    <w:uiPriority w:val="1"/>
    <w:qFormat/>
    <w:pPr>
      <w:ind w:left="100"/>
    </w:pPr>
    <w:rPr>
      <w:rFonts w:ascii="Arial" w:hAnsi="Arial" w:eastAsia="Arial" w:cs="Arial"/>
      <w:sz w:val="20"/>
      <w:szCs w:val="20"/>
      <w:lang w:val="en-US" w:eastAsia="en-US" w:bidi="ar-SA"/>
    </w:rPr>
  </w:style>
  <w:style w:styleId="Heading1" w:type="paragraph">
    <w:name w:val="Heading 1"/>
    <w:basedOn w:val="Normal"/>
    <w:uiPriority w:val="1"/>
    <w:qFormat/>
    <w:pPr>
      <w:ind w:left="820" w:hanging="720"/>
      <w:outlineLvl w:val="1"/>
    </w:pPr>
    <w:rPr>
      <w:rFonts w:ascii="Arial" w:hAnsi="Arial" w:eastAsia="Arial" w:cs="Arial"/>
      <w:b/>
      <w:bCs/>
      <w:sz w:val="24"/>
      <w:szCs w:val="24"/>
      <w:lang w:val="en-US" w:eastAsia="en-US" w:bidi="ar-SA"/>
    </w:rPr>
  </w:style>
  <w:style w:styleId="ListParagraph" w:type="paragraph">
    <w:name w:val="List Paragraph"/>
    <w:basedOn w:val="Normal"/>
    <w:uiPriority w:val="1"/>
    <w:qFormat/>
    <w:pPr>
      <w:ind w:left="820" w:hanging="720"/>
    </w:pPr>
    <w:rPr>
      <w:rFonts w:ascii="Arial" w:hAnsi="Arial" w:eastAsia="Arial" w:cs="Arial"/>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Jones, Alexandra</dc:creator>
  <dcterms:created xsi:type="dcterms:W3CDTF">2025-04-10T15:07:59Z</dcterms:created>
  <dcterms:modified xsi:type="dcterms:W3CDTF">2025-04-10T15:07:59Z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2025-04-10T00:00:00Z</vt:filetime>
  </property>
  <property fmtid="{D5CDD505-2E9C-101B-9397-08002B2CF9AE}" pid="3" name="Creator">
    <vt:lpwstr>Microsoft® Word for Microsoft 365</vt:lpwstr>
  </property>
  <property fmtid="{D5CDD505-2E9C-101B-9397-08002B2CF9AE}" pid="4" name="LastSaved">
    <vt:filetime>2025-04-10T00:00:00Z</vt:filetime>
  </property>
  <property fmtid="{D5CDD505-2E9C-101B-9397-08002B2CF9AE}" pid="5" name="Producer">
    <vt:lpwstr>Microsoft® Word for Microsoft 365</vt:lpwstr>
  </property>
</Properties>
</file>